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BC2F4" w14:textId="77777777" w:rsidR="00B67804" w:rsidRPr="00B67804" w:rsidRDefault="00B67804" w:rsidP="00B67804">
      <w:pPr>
        <w:jc w:val="center"/>
        <w:rPr>
          <w:rFonts w:asciiTheme="majorHAnsi" w:hAnsiTheme="majorHAnsi" w:cs="Arial"/>
          <w:b/>
          <w:spacing w:val="-10"/>
        </w:rPr>
      </w:pPr>
      <w:r w:rsidRPr="00B67804">
        <w:rPr>
          <w:rFonts w:asciiTheme="majorHAnsi" w:hAnsiTheme="majorHAnsi" w:cs="Arial"/>
          <w:b/>
          <w:spacing w:val="-10"/>
        </w:rPr>
        <w:t>INFORMACIÓN GENERAL:</w:t>
      </w:r>
    </w:p>
    <w:p w14:paraId="21F2E169" w14:textId="77777777" w:rsidR="00B67804" w:rsidRPr="00B67804" w:rsidRDefault="00B67804" w:rsidP="00B67804">
      <w:pPr>
        <w:rPr>
          <w:rFonts w:asciiTheme="majorHAnsi" w:hAnsiTheme="majorHAnsi" w:cs="Arial"/>
          <w:b/>
          <w:spacing w:val="-10"/>
          <w:u w:val="single"/>
        </w:rPr>
      </w:pPr>
    </w:p>
    <w:tbl>
      <w:tblPr>
        <w:tblStyle w:val="Tablaconcuadrcula"/>
        <w:tblW w:w="0" w:type="auto"/>
        <w:tblLook w:val="04A0" w:firstRow="1" w:lastRow="0" w:firstColumn="1" w:lastColumn="0" w:noHBand="0" w:noVBand="1"/>
      </w:tblPr>
      <w:tblGrid>
        <w:gridCol w:w="3539"/>
        <w:gridCol w:w="5685"/>
      </w:tblGrid>
      <w:tr w:rsidR="00B67804" w:rsidRPr="00B67804" w14:paraId="5093F1B0" w14:textId="77777777" w:rsidTr="00BB7E32">
        <w:tc>
          <w:tcPr>
            <w:tcW w:w="3539" w:type="dxa"/>
          </w:tcPr>
          <w:p w14:paraId="7DBE39A8" w14:textId="77777777" w:rsidR="00B67804" w:rsidRPr="00B67804" w:rsidRDefault="00B67804" w:rsidP="00BB7E32">
            <w:pPr>
              <w:rPr>
                <w:rFonts w:asciiTheme="majorHAnsi" w:hAnsiTheme="majorHAnsi" w:cs="Arial"/>
                <w:b/>
                <w:spacing w:val="-10"/>
                <w:u w:val="single"/>
              </w:rPr>
            </w:pPr>
            <w:r w:rsidRPr="00B67804">
              <w:rPr>
                <w:rFonts w:asciiTheme="majorHAnsi" w:hAnsiTheme="majorHAnsi" w:cs="Arial"/>
                <w:b/>
                <w:spacing w:val="-10"/>
              </w:rPr>
              <w:t>TIPO DE ACTUACIÓN (JURISDICCIÓN)</w:t>
            </w:r>
          </w:p>
        </w:tc>
        <w:tc>
          <w:tcPr>
            <w:tcW w:w="5685" w:type="dxa"/>
          </w:tcPr>
          <w:p w14:paraId="05B6CAEF" w14:textId="77777777" w:rsidR="00B67804" w:rsidRPr="00B67804" w:rsidRDefault="00B67804" w:rsidP="00BB7E32">
            <w:pPr>
              <w:rPr>
                <w:rFonts w:asciiTheme="majorHAnsi" w:hAnsiTheme="majorHAnsi" w:cs="Arial"/>
                <w:spacing w:val="-10"/>
              </w:rPr>
            </w:pPr>
            <w:r w:rsidRPr="00B67804">
              <w:rPr>
                <w:rFonts w:asciiTheme="majorHAnsi" w:hAnsiTheme="majorHAnsi" w:cs="Arial"/>
                <w:spacing w:val="-10"/>
              </w:rPr>
              <w:t>(jurisdicción del medio de control)</w:t>
            </w:r>
          </w:p>
        </w:tc>
      </w:tr>
      <w:tr w:rsidR="00B67804" w:rsidRPr="00B67804" w14:paraId="57C381EC" w14:textId="77777777" w:rsidTr="00BB7E32">
        <w:tc>
          <w:tcPr>
            <w:tcW w:w="3539" w:type="dxa"/>
          </w:tcPr>
          <w:p w14:paraId="56ABD5FC" w14:textId="77777777" w:rsidR="00B67804" w:rsidRPr="00B67804" w:rsidRDefault="00B67804" w:rsidP="00BB7E32">
            <w:pPr>
              <w:rPr>
                <w:rFonts w:asciiTheme="majorHAnsi" w:hAnsiTheme="majorHAnsi" w:cs="Arial"/>
                <w:b/>
                <w:spacing w:val="-10"/>
              </w:rPr>
            </w:pPr>
            <w:r w:rsidRPr="00B67804">
              <w:rPr>
                <w:rFonts w:asciiTheme="majorHAnsi" w:hAnsiTheme="majorHAnsi" w:cs="Arial"/>
                <w:b/>
                <w:spacing w:val="-10"/>
              </w:rPr>
              <w:t>DESPACHO DE DILIGENCIA</w:t>
            </w:r>
          </w:p>
        </w:tc>
        <w:tc>
          <w:tcPr>
            <w:tcW w:w="5685" w:type="dxa"/>
          </w:tcPr>
          <w:p w14:paraId="193D17B7" w14:textId="77777777" w:rsidR="00B67804" w:rsidRPr="00B67804" w:rsidRDefault="00B67804" w:rsidP="00BB7E32">
            <w:pPr>
              <w:rPr>
                <w:rFonts w:asciiTheme="majorHAnsi" w:hAnsiTheme="majorHAnsi" w:cs="Arial"/>
                <w:spacing w:val="-10"/>
              </w:rPr>
            </w:pPr>
            <w:r w:rsidRPr="00B67804">
              <w:rPr>
                <w:rFonts w:asciiTheme="majorHAnsi" w:hAnsiTheme="majorHAnsi" w:cs="Arial"/>
                <w:spacing w:val="-10"/>
              </w:rPr>
              <w:t>Procuradores delegados ante los jueces administrativos (Reparto)</w:t>
            </w:r>
          </w:p>
        </w:tc>
      </w:tr>
      <w:tr w:rsidR="00B67804" w:rsidRPr="00B67804" w14:paraId="4BB62D3F" w14:textId="77777777" w:rsidTr="00BB7E32">
        <w:tc>
          <w:tcPr>
            <w:tcW w:w="3539" w:type="dxa"/>
          </w:tcPr>
          <w:p w14:paraId="025C2EA7" w14:textId="77777777" w:rsidR="00B67804" w:rsidRPr="00B67804" w:rsidRDefault="00B67804" w:rsidP="00BB7E32">
            <w:pPr>
              <w:rPr>
                <w:rFonts w:asciiTheme="majorHAnsi" w:hAnsiTheme="majorHAnsi" w:cs="Arial"/>
                <w:b/>
                <w:spacing w:val="-10"/>
              </w:rPr>
            </w:pPr>
            <w:r w:rsidRPr="00B67804">
              <w:rPr>
                <w:rFonts w:asciiTheme="majorHAnsi" w:hAnsiTheme="majorHAnsi" w:cs="Arial"/>
                <w:b/>
                <w:spacing w:val="-10"/>
              </w:rPr>
              <w:t>RADICACIÓN</w:t>
            </w:r>
          </w:p>
        </w:tc>
        <w:tc>
          <w:tcPr>
            <w:tcW w:w="5685" w:type="dxa"/>
          </w:tcPr>
          <w:p w14:paraId="25767012" w14:textId="77777777" w:rsidR="00B67804" w:rsidRPr="00B67804" w:rsidRDefault="00B67804" w:rsidP="00BB7E32">
            <w:pPr>
              <w:rPr>
                <w:rFonts w:asciiTheme="majorHAnsi" w:hAnsiTheme="majorHAnsi" w:cs="Arial"/>
                <w:spacing w:val="-10"/>
              </w:rPr>
            </w:pPr>
            <w:r w:rsidRPr="00B67804">
              <w:rPr>
                <w:rFonts w:asciiTheme="majorHAnsi" w:hAnsiTheme="majorHAnsi" w:cs="Arial"/>
                <w:spacing w:val="-10"/>
              </w:rPr>
              <w:t>Por Determinar</w:t>
            </w:r>
          </w:p>
        </w:tc>
      </w:tr>
      <w:tr w:rsidR="00B67804" w:rsidRPr="00B67804" w14:paraId="2414E4F9" w14:textId="77777777" w:rsidTr="00BB7E32">
        <w:tc>
          <w:tcPr>
            <w:tcW w:w="3539" w:type="dxa"/>
          </w:tcPr>
          <w:p w14:paraId="26F2980A" w14:textId="77777777" w:rsidR="00B67804" w:rsidRPr="00B67804" w:rsidRDefault="00B67804" w:rsidP="00BB7E32">
            <w:pPr>
              <w:rPr>
                <w:rFonts w:asciiTheme="majorHAnsi" w:hAnsiTheme="majorHAnsi" w:cs="Arial"/>
                <w:b/>
                <w:spacing w:val="-10"/>
              </w:rPr>
            </w:pPr>
            <w:r w:rsidRPr="00B67804">
              <w:rPr>
                <w:rFonts w:asciiTheme="majorHAnsi" w:hAnsiTheme="majorHAnsi" w:cs="Arial"/>
                <w:b/>
                <w:spacing w:val="-10"/>
              </w:rPr>
              <w:t>MEDIO DE CONTROL</w:t>
            </w:r>
          </w:p>
        </w:tc>
        <w:tc>
          <w:tcPr>
            <w:tcW w:w="5685" w:type="dxa"/>
          </w:tcPr>
          <w:p w14:paraId="43BF7C6B" w14:textId="77777777" w:rsidR="00B67804" w:rsidRPr="00B67804" w:rsidRDefault="00B67804" w:rsidP="00BB7E32">
            <w:pPr>
              <w:rPr>
                <w:rFonts w:asciiTheme="majorHAnsi" w:hAnsiTheme="majorHAnsi" w:cs="Arial"/>
                <w:spacing w:val="-10"/>
              </w:rPr>
            </w:pPr>
            <w:r w:rsidRPr="00B67804">
              <w:rPr>
                <w:rFonts w:asciiTheme="majorHAnsi" w:hAnsiTheme="majorHAnsi" w:cs="Arial"/>
                <w:spacing w:val="-10"/>
              </w:rPr>
              <w:t xml:space="preserve">Controversia Contractual </w:t>
            </w:r>
          </w:p>
        </w:tc>
      </w:tr>
      <w:tr w:rsidR="00B67804" w:rsidRPr="00B67804" w14:paraId="00555ACD" w14:textId="77777777" w:rsidTr="00BB7E32">
        <w:tc>
          <w:tcPr>
            <w:tcW w:w="3539" w:type="dxa"/>
          </w:tcPr>
          <w:p w14:paraId="50A0DE9A" w14:textId="77777777" w:rsidR="00B67804" w:rsidRPr="00B67804" w:rsidRDefault="00B67804" w:rsidP="00BB7E32">
            <w:pPr>
              <w:rPr>
                <w:rFonts w:asciiTheme="majorHAnsi" w:hAnsiTheme="majorHAnsi" w:cs="Arial"/>
                <w:b/>
                <w:spacing w:val="-10"/>
              </w:rPr>
            </w:pPr>
            <w:r w:rsidRPr="00B67804">
              <w:rPr>
                <w:rFonts w:asciiTheme="majorHAnsi" w:hAnsiTheme="majorHAnsi" w:cs="Arial"/>
                <w:b/>
                <w:spacing w:val="-10"/>
              </w:rPr>
              <w:t>DEMANDANTE O CONVOCANTE</w:t>
            </w:r>
          </w:p>
        </w:tc>
        <w:tc>
          <w:tcPr>
            <w:tcW w:w="5685" w:type="dxa"/>
          </w:tcPr>
          <w:p w14:paraId="468891FC" w14:textId="77777777" w:rsidR="00B67804" w:rsidRPr="00B67804" w:rsidRDefault="00B67804" w:rsidP="00BB7E32">
            <w:pPr>
              <w:rPr>
                <w:rFonts w:asciiTheme="majorHAnsi" w:hAnsiTheme="majorHAnsi" w:cs="Arial"/>
                <w:spacing w:val="-10"/>
              </w:rPr>
            </w:pPr>
            <w:r w:rsidRPr="00B67804">
              <w:rPr>
                <w:rFonts w:asciiTheme="majorHAnsi" w:hAnsiTheme="majorHAnsi"/>
              </w:rPr>
              <w:t>Fundación Universidad del Valle Palmira en Liquidación</w:t>
            </w:r>
          </w:p>
        </w:tc>
      </w:tr>
      <w:tr w:rsidR="00B67804" w:rsidRPr="00B67804" w14:paraId="3FD6B253" w14:textId="77777777" w:rsidTr="00BB7E32">
        <w:tc>
          <w:tcPr>
            <w:tcW w:w="3539" w:type="dxa"/>
          </w:tcPr>
          <w:p w14:paraId="65890D50" w14:textId="77777777" w:rsidR="00B67804" w:rsidRPr="00B67804" w:rsidRDefault="00B67804" w:rsidP="00BB7E32">
            <w:pPr>
              <w:rPr>
                <w:rFonts w:asciiTheme="majorHAnsi" w:hAnsiTheme="majorHAnsi" w:cs="Arial"/>
                <w:b/>
                <w:spacing w:val="-10"/>
              </w:rPr>
            </w:pPr>
            <w:r w:rsidRPr="00B67804">
              <w:rPr>
                <w:rFonts w:asciiTheme="majorHAnsi" w:hAnsiTheme="majorHAnsi" w:cs="Arial"/>
                <w:b/>
                <w:spacing w:val="-10"/>
              </w:rPr>
              <w:t>IDENTIFICACIÓN</w:t>
            </w:r>
          </w:p>
        </w:tc>
        <w:tc>
          <w:tcPr>
            <w:tcW w:w="5685" w:type="dxa"/>
          </w:tcPr>
          <w:p w14:paraId="55D0A1A9" w14:textId="77777777" w:rsidR="00B67804" w:rsidRPr="00B67804" w:rsidRDefault="00B67804" w:rsidP="00BB7E32">
            <w:pPr>
              <w:rPr>
                <w:rFonts w:asciiTheme="majorHAnsi" w:hAnsiTheme="majorHAnsi" w:cs="Arial"/>
                <w:spacing w:val="-10"/>
              </w:rPr>
            </w:pPr>
            <w:r w:rsidRPr="00B67804">
              <w:rPr>
                <w:rFonts w:asciiTheme="majorHAnsi" w:hAnsiTheme="majorHAnsi"/>
              </w:rPr>
              <w:t>NIT No. 900.226.909-5</w:t>
            </w:r>
          </w:p>
        </w:tc>
      </w:tr>
      <w:tr w:rsidR="00B67804" w:rsidRPr="00B67804" w14:paraId="4E0344AC" w14:textId="77777777" w:rsidTr="00BB7E32">
        <w:tc>
          <w:tcPr>
            <w:tcW w:w="3539" w:type="dxa"/>
          </w:tcPr>
          <w:p w14:paraId="2A840381" w14:textId="77777777" w:rsidR="00B67804" w:rsidRPr="00B67804" w:rsidRDefault="00B67804" w:rsidP="00BB7E32">
            <w:pPr>
              <w:rPr>
                <w:rFonts w:asciiTheme="majorHAnsi" w:hAnsiTheme="majorHAnsi" w:cs="Arial"/>
                <w:b/>
                <w:spacing w:val="-10"/>
              </w:rPr>
            </w:pPr>
            <w:r w:rsidRPr="00B67804">
              <w:rPr>
                <w:rFonts w:asciiTheme="majorHAnsi" w:hAnsiTheme="majorHAnsi" w:cs="Arial"/>
                <w:b/>
                <w:spacing w:val="-10"/>
              </w:rPr>
              <w:t>DEMANDADO O CONVOCADO</w:t>
            </w:r>
          </w:p>
        </w:tc>
        <w:tc>
          <w:tcPr>
            <w:tcW w:w="5685" w:type="dxa"/>
          </w:tcPr>
          <w:p w14:paraId="25872E2D" w14:textId="77777777" w:rsidR="00B67804" w:rsidRPr="00B67804" w:rsidRDefault="00B67804" w:rsidP="00BB7E32">
            <w:pPr>
              <w:rPr>
                <w:rFonts w:asciiTheme="majorHAnsi" w:hAnsiTheme="majorHAnsi" w:cs="Arial"/>
                <w:spacing w:val="-10"/>
              </w:rPr>
            </w:pPr>
            <w:r w:rsidRPr="00B67804">
              <w:rPr>
                <w:rFonts w:asciiTheme="majorHAnsi" w:hAnsiTheme="majorHAnsi" w:cs="Arial"/>
                <w:spacing w:val="-10"/>
              </w:rPr>
              <w:t>Municipio de Palmira</w:t>
            </w:r>
          </w:p>
        </w:tc>
      </w:tr>
      <w:tr w:rsidR="00B67804" w:rsidRPr="00B67804" w14:paraId="000778F1" w14:textId="77777777" w:rsidTr="00BB7E32">
        <w:tc>
          <w:tcPr>
            <w:tcW w:w="3539" w:type="dxa"/>
          </w:tcPr>
          <w:p w14:paraId="6E6E4988" w14:textId="77777777" w:rsidR="00B67804" w:rsidRPr="00B67804" w:rsidRDefault="00B67804" w:rsidP="00BB7E32">
            <w:pPr>
              <w:rPr>
                <w:rFonts w:asciiTheme="majorHAnsi" w:hAnsiTheme="majorHAnsi" w:cs="Arial"/>
                <w:b/>
                <w:spacing w:val="-10"/>
              </w:rPr>
            </w:pPr>
            <w:r w:rsidRPr="00B67804">
              <w:rPr>
                <w:rFonts w:asciiTheme="majorHAnsi" w:hAnsiTheme="majorHAnsi" w:cs="Arial"/>
                <w:b/>
                <w:spacing w:val="-10"/>
              </w:rPr>
              <w:t>IDENTIFICACIÓN</w:t>
            </w:r>
          </w:p>
        </w:tc>
        <w:tc>
          <w:tcPr>
            <w:tcW w:w="5685" w:type="dxa"/>
          </w:tcPr>
          <w:p w14:paraId="1807D873" w14:textId="77777777" w:rsidR="00B67804" w:rsidRPr="00B67804" w:rsidRDefault="00B67804" w:rsidP="00BB7E32">
            <w:pPr>
              <w:rPr>
                <w:rFonts w:asciiTheme="majorHAnsi" w:hAnsiTheme="majorHAnsi" w:cs="Arial"/>
                <w:spacing w:val="-10"/>
              </w:rPr>
            </w:pPr>
            <w:r w:rsidRPr="00B67804">
              <w:rPr>
                <w:rFonts w:asciiTheme="majorHAnsi" w:hAnsiTheme="majorHAnsi" w:cs="Arial"/>
                <w:spacing w:val="-10"/>
              </w:rPr>
              <w:t>NIT No. 891.380.007-3</w:t>
            </w:r>
          </w:p>
        </w:tc>
      </w:tr>
      <w:tr w:rsidR="00B67804" w:rsidRPr="00B67804" w14:paraId="4FEA055C" w14:textId="77777777" w:rsidTr="00BB7E32">
        <w:tc>
          <w:tcPr>
            <w:tcW w:w="3539" w:type="dxa"/>
          </w:tcPr>
          <w:p w14:paraId="39B75BC4" w14:textId="77777777" w:rsidR="00B67804" w:rsidRPr="00B67804" w:rsidRDefault="00B67804" w:rsidP="00BB7E32">
            <w:pPr>
              <w:rPr>
                <w:rFonts w:asciiTheme="majorHAnsi" w:hAnsiTheme="majorHAnsi" w:cs="Arial"/>
                <w:b/>
                <w:spacing w:val="-10"/>
              </w:rPr>
            </w:pPr>
            <w:r w:rsidRPr="00B67804">
              <w:rPr>
                <w:rFonts w:asciiTheme="majorHAnsi" w:hAnsiTheme="majorHAnsi" w:cs="Arial"/>
                <w:b/>
                <w:spacing w:val="-10"/>
              </w:rPr>
              <w:t>DEPENDENCIA DE ORIGEN</w:t>
            </w:r>
          </w:p>
        </w:tc>
        <w:tc>
          <w:tcPr>
            <w:tcW w:w="5685" w:type="dxa"/>
          </w:tcPr>
          <w:p w14:paraId="4A483A1B" w14:textId="77777777" w:rsidR="00B67804" w:rsidRPr="00B67804" w:rsidRDefault="00B67804" w:rsidP="00BB7E32">
            <w:pPr>
              <w:rPr>
                <w:rFonts w:asciiTheme="majorHAnsi" w:hAnsiTheme="majorHAnsi" w:cs="Arial"/>
                <w:spacing w:val="-10"/>
              </w:rPr>
            </w:pPr>
            <w:r w:rsidRPr="00B67804">
              <w:rPr>
                <w:rFonts w:asciiTheme="majorHAnsi" w:hAnsiTheme="majorHAnsi" w:cs="Arial"/>
                <w:spacing w:val="-10"/>
              </w:rPr>
              <w:t xml:space="preserve">Secretaria de Planeación y Dirección de Contratación </w:t>
            </w:r>
          </w:p>
        </w:tc>
      </w:tr>
      <w:tr w:rsidR="00B67804" w:rsidRPr="00B67804" w14:paraId="709816F2" w14:textId="77777777" w:rsidTr="00BB7E32">
        <w:tc>
          <w:tcPr>
            <w:tcW w:w="3539" w:type="dxa"/>
          </w:tcPr>
          <w:p w14:paraId="5FDC754F" w14:textId="77777777" w:rsidR="00B67804" w:rsidRPr="00B67804" w:rsidRDefault="00B67804" w:rsidP="00BB7E32">
            <w:pPr>
              <w:rPr>
                <w:rFonts w:asciiTheme="majorHAnsi" w:hAnsiTheme="majorHAnsi" w:cs="Arial"/>
                <w:b/>
                <w:spacing w:val="-10"/>
              </w:rPr>
            </w:pPr>
            <w:r w:rsidRPr="00B67804">
              <w:rPr>
                <w:rFonts w:asciiTheme="majorHAnsi" w:hAnsiTheme="majorHAnsi" w:cs="Arial"/>
                <w:b/>
                <w:spacing w:val="-10"/>
              </w:rPr>
              <w:t>APODERADO</w:t>
            </w:r>
          </w:p>
        </w:tc>
        <w:tc>
          <w:tcPr>
            <w:tcW w:w="5685" w:type="dxa"/>
          </w:tcPr>
          <w:p w14:paraId="278D3E34" w14:textId="77777777" w:rsidR="00B67804" w:rsidRPr="00B67804" w:rsidRDefault="00B67804" w:rsidP="00BB7E32">
            <w:pPr>
              <w:rPr>
                <w:rFonts w:asciiTheme="majorHAnsi" w:hAnsiTheme="majorHAnsi" w:cs="Arial"/>
                <w:spacing w:val="-10"/>
              </w:rPr>
            </w:pPr>
            <w:r w:rsidRPr="00B67804">
              <w:rPr>
                <w:rFonts w:asciiTheme="majorHAnsi" w:hAnsiTheme="majorHAnsi" w:cs="Arial"/>
                <w:spacing w:val="-10"/>
              </w:rPr>
              <w:t>Carlos Alberto Arias Contreras</w:t>
            </w:r>
          </w:p>
        </w:tc>
      </w:tr>
      <w:tr w:rsidR="00B67804" w:rsidRPr="00B67804" w14:paraId="7FFC3376" w14:textId="77777777" w:rsidTr="00BB7E32">
        <w:tc>
          <w:tcPr>
            <w:tcW w:w="3539" w:type="dxa"/>
          </w:tcPr>
          <w:p w14:paraId="15B53BC0" w14:textId="77777777" w:rsidR="00B67804" w:rsidRPr="00B67804" w:rsidRDefault="00B67804" w:rsidP="00BB7E32">
            <w:pPr>
              <w:rPr>
                <w:rFonts w:asciiTheme="majorHAnsi" w:hAnsiTheme="majorHAnsi" w:cs="Arial"/>
                <w:b/>
                <w:spacing w:val="-10"/>
              </w:rPr>
            </w:pPr>
            <w:r w:rsidRPr="00B67804">
              <w:rPr>
                <w:rFonts w:asciiTheme="majorHAnsi" w:hAnsiTheme="majorHAnsi" w:cs="Arial"/>
                <w:b/>
                <w:spacing w:val="-10"/>
              </w:rPr>
              <w:t>CLASE DE DILIGENCIA</w:t>
            </w:r>
          </w:p>
        </w:tc>
        <w:tc>
          <w:tcPr>
            <w:tcW w:w="5685" w:type="dxa"/>
          </w:tcPr>
          <w:p w14:paraId="64C1F5B6" w14:textId="77777777" w:rsidR="00B67804" w:rsidRPr="00B67804" w:rsidRDefault="00B67804" w:rsidP="00BB7E32">
            <w:pPr>
              <w:rPr>
                <w:rFonts w:asciiTheme="majorHAnsi" w:hAnsiTheme="majorHAnsi" w:cs="Arial"/>
                <w:bCs/>
                <w:spacing w:val="-10"/>
              </w:rPr>
            </w:pPr>
            <w:r w:rsidRPr="00B67804">
              <w:rPr>
                <w:rFonts w:asciiTheme="majorHAnsi" w:hAnsiTheme="majorHAnsi" w:cs="Arial"/>
                <w:bCs/>
                <w:spacing w:val="-10"/>
              </w:rPr>
              <w:t>Conciliación Prejudicial</w:t>
            </w:r>
          </w:p>
        </w:tc>
      </w:tr>
      <w:tr w:rsidR="00B67804" w:rsidRPr="00B67804" w14:paraId="246C8A57" w14:textId="77777777" w:rsidTr="00BB7E32">
        <w:tc>
          <w:tcPr>
            <w:tcW w:w="3539" w:type="dxa"/>
          </w:tcPr>
          <w:p w14:paraId="094F28BC" w14:textId="77777777" w:rsidR="00B67804" w:rsidRPr="00B67804" w:rsidRDefault="00B67804" w:rsidP="00BB7E32">
            <w:pPr>
              <w:rPr>
                <w:rFonts w:asciiTheme="majorHAnsi" w:hAnsiTheme="majorHAnsi" w:cs="Arial"/>
                <w:b/>
                <w:spacing w:val="-10"/>
              </w:rPr>
            </w:pPr>
            <w:r w:rsidRPr="00B67804">
              <w:rPr>
                <w:rFonts w:asciiTheme="majorHAnsi" w:hAnsiTheme="majorHAnsi" w:cs="Arial"/>
                <w:b/>
                <w:spacing w:val="-10"/>
              </w:rPr>
              <w:t>FECHA Y HORA DE LA DILIGENCIA</w:t>
            </w:r>
          </w:p>
        </w:tc>
        <w:tc>
          <w:tcPr>
            <w:tcW w:w="5685" w:type="dxa"/>
          </w:tcPr>
          <w:p w14:paraId="3CDA794E" w14:textId="77777777" w:rsidR="00B67804" w:rsidRPr="00B67804" w:rsidRDefault="00B67804" w:rsidP="00BB7E32">
            <w:pPr>
              <w:rPr>
                <w:rFonts w:asciiTheme="majorHAnsi" w:hAnsiTheme="majorHAnsi" w:cs="Arial"/>
                <w:bCs/>
                <w:spacing w:val="-10"/>
              </w:rPr>
            </w:pPr>
            <w:r w:rsidRPr="00B67804">
              <w:rPr>
                <w:rFonts w:asciiTheme="majorHAnsi" w:hAnsiTheme="majorHAnsi" w:cs="Arial"/>
                <w:bCs/>
                <w:spacing w:val="-10"/>
              </w:rPr>
              <w:t>Por Determinar</w:t>
            </w:r>
          </w:p>
        </w:tc>
      </w:tr>
      <w:tr w:rsidR="00B67804" w:rsidRPr="00B67804" w14:paraId="29288DD8" w14:textId="77777777" w:rsidTr="00BB7E32">
        <w:tc>
          <w:tcPr>
            <w:tcW w:w="3539" w:type="dxa"/>
          </w:tcPr>
          <w:p w14:paraId="7303FFBF" w14:textId="77777777" w:rsidR="00B67804" w:rsidRPr="00B67804" w:rsidRDefault="00B67804" w:rsidP="00BB7E32">
            <w:pPr>
              <w:rPr>
                <w:rFonts w:asciiTheme="majorHAnsi" w:hAnsiTheme="majorHAnsi" w:cs="Arial"/>
                <w:b/>
                <w:spacing w:val="-10"/>
              </w:rPr>
            </w:pPr>
            <w:r w:rsidRPr="00B67804">
              <w:rPr>
                <w:rFonts w:asciiTheme="majorHAnsi" w:hAnsiTheme="majorHAnsi" w:cs="Arial"/>
                <w:b/>
                <w:spacing w:val="-10"/>
              </w:rPr>
              <w:t>CUANTÍA</w:t>
            </w:r>
          </w:p>
        </w:tc>
        <w:tc>
          <w:tcPr>
            <w:tcW w:w="5685" w:type="dxa"/>
          </w:tcPr>
          <w:p w14:paraId="7B7741E9" w14:textId="77777777" w:rsidR="00B67804" w:rsidRPr="00B67804" w:rsidRDefault="00B67804" w:rsidP="00BB7E32">
            <w:pPr>
              <w:rPr>
                <w:rFonts w:asciiTheme="majorHAnsi" w:hAnsiTheme="majorHAnsi" w:cs="Arial"/>
                <w:b/>
                <w:spacing w:val="-10"/>
                <w:u w:val="single"/>
              </w:rPr>
            </w:pPr>
            <w:r w:rsidRPr="00B67804">
              <w:rPr>
                <w:rFonts w:asciiTheme="majorHAnsi" w:hAnsiTheme="majorHAnsi"/>
              </w:rPr>
              <w:t xml:space="preserve">Doscientos Diecinueve Millones Quinientos Treinta y Un Mil Seiscientos Sesenta y Siete </w:t>
            </w:r>
            <w:proofErr w:type="gramStart"/>
            <w:r w:rsidRPr="00B67804">
              <w:rPr>
                <w:rFonts w:asciiTheme="majorHAnsi" w:hAnsiTheme="majorHAnsi"/>
              </w:rPr>
              <w:t>Pesos</w:t>
            </w:r>
            <w:proofErr w:type="gramEnd"/>
            <w:r w:rsidRPr="00B67804">
              <w:rPr>
                <w:rFonts w:asciiTheme="majorHAnsi" w:hAnsiTheme="majorHAnsi"/>
              </w:rPr>
              <w:t xml:space="preserve"> ($219.531.667)</w:t>
            </w:r>
          </w:p>
        </w:tc>
      </w:tr>
    </w:tbl>
    <w:p w14:paraId="13D6573C" w14:textId="77777777" w:rsidR="00B67804" w:rsidRPr="00B67804" w:rsidRDefault="00B67804" w:rsidP="00B67804">
      <w:pPr>
        <w:tabs>
          <w:tab w:val="left" w:pos="3261"/>
          <w:tab w:val="left" w:pos="3544"/>
        </w:tabs>
        <w:rPr>
          <w:rFonts w:asciiTheme="majorHAnsi" w:hAnsiTheme="majorHAnsi" w:cs="Arial"/>
          <w:b/>
          <w:spacing w:val="-10"/>
        </w:rPr>
      </w:pPr>
    </w:p>
    <w:p w14:paraId="20DD6261" w14:textId="77777777" w:rsidR="00B67804" w:rsidRPr="00B67804" w:rsidRDefault="00B67804" w:rsidP="00B67804">
      <w:pPr>
        <w:tabs>
          <w:tab w:val="left" w:pos="3261"/>
          <w:tab w:val="left" w:pos="3544"/>
        </w:tabs>
        <w:rPr>
          <w:rFonts w:asciiTheme="majorHAnsi" w:hAnsiTheme="majorHAnsi" w:cs="Arial"/>
          <w:b/>
          <w:spacing w:val="-10"/>
        </w:rPr>
      </w:pPr>
    </w:p>
    <w:p w14:paraId="6813E4F3" w14:textId="77777777" w:rsidR="00B67804" w:rsidRPr="00B67804" w:rsidRDefault="00B67804" w:rsidP="00B67804">
      <w:pPr>
        <w:tabs>
          <w:tab w:val="left" w:pos="3261"/>
          <w:tab w:val="left" w:pos="3544"/>
        </w:tabs>
        <w:jc w:val="center"/>
        <w:rPr>
          <w:rFonts w:asciiTheme="majorHAnsi" w:hAnsiTheme="majorHAnsi" w:cs="Arial"/>
          <w:b/>
        </w:rPr>
      </w:pPr>
      <w:r w:rsidRPr="00B67804">
        <w:rPr>
          <w:rFonts w:asciiTheme="majorHAnsi" w:hAnsiTheme="majorHAnsi" w:cs="Arial"/>
          <w:b/>
        </w:rPr>
        <w:t>DESCRIPCIÓN DE LOS HECHOS:</w:t>
      </w:r>
    </w:p>
    <w:p w14:paraId="5E432394" w14:textId="77777777" w:rsidR="00B67804" w:rsidRPr="00B67804" w:rsidRDefault="00B67804" w:rsidP="00B67804">
      <w:pPr>
        <w:tabs>
          <w:tab w:val="left" w:pos="3261"/>
          <w:tab w:val="left" w:pos="3544"/>
        </w:tabs>
        <w:rPr>
          <w:rFonts w:asciiTheme="majorHAnsi" w:hAnsiTheme="majorHAnsi" w:cs="Arial"/>
          <w:b/>
        </w:rPr>
      </w:pPr>
    </w:p>
    <w:p w14:paraId="50B8D4C8" w14:textId="77777777" w:rsidR="00B67804" w:rsidRPr="00B67804" w:rsidRDefault="00B67804" w:rsidP="00B67804">
      <w:pPr>
        <w:tabs>
          <w:tab w:val="left" w:pos="142"/>
        </w:tabs>
        <w:rPr>
          <w:rFonts w:asciiTheme="majorHAnsi" w:hAnsiTheme="majorHAnsi"/>
        </w:rPr>
      </w:pPr>
      <w:r w:rsidRPr="00B67804">
        <w:rPr>
          <w:rFonts w:asciiTheme="majorHAnsi" w:hAnsiTheme="majorHAnsi"/>
        </w:rPr>
        <w:t>1.- El municipio de Palmira – Valle del Cauca celebro el 18 de septiembre de 2017 un contrato interadministrativo que fue denominado CONVENIO INTERADMINISTRATIVO No 753 con la Fundación Universidad del Valle Palmira identificada con NIT 900226909-5 en liquidación, representada por MANUEL ALBERTO SALAZAR CASTILLO identificado con la cedula de ciudadanía No 12.916.058 con domicilio en la Calle 42 No 22 – 28 de Palmira.</w:t>
      </w:r>
    </w:p>
    <w:p w14:paraId="5DC7EBB3" w14:textId="77777777" w:rsidR="00B67804" w:rsidRPr="00B67804" w:rsidRDefault="00B67804" w:rsidP="00B67804">
      <w:pPr>
        <w:tabs>
          <w:tab w:val="left" w:pos="142"/>
        </w:tabs>
        <w:rPr>
          <w:rFonts w:asciiTheme="majorHAnsi" w:hAnsiTheme="majorHAnsi"/>
        </w:rPr>
      </w:pPr>
    </w:p>
    <w:p w14:paraId="59AA1335" w14:textId="77777777" w:rsidR="00B67804" w:rsidRPr="00B67804" w:rsidRDefault="00B67804" w:rsidP="00B67804">
      <w:pPr>
        <w:tabs>
          <w:tab w:val="left" w:pos="142"/>
        </w:tabs>
        <w:rPr>
          <w:rFonts w:asciiTheme="majorHAnsi" w:hAnsiTheme="majorHAnsi"/>
        </w:rPr>
      </w:pPr>
      <w:r w:rsidRPr="00B67804">
        <w:rPr>
          <w:rFonts w:asciiTheme="majorHAnsi" w:hAnsiTheme="majorHAnsi"/>
        </w:rPr>
        <w:t>2.- El objeto pactado en el denominado convenio es ACOMPAÑAMIENTO A LA SECRETARIA DE PLANEACION MUNICIPAL EN LA REALIZACION DEL NUEVO ESTUDIO DE ESTRATIFICACION URBANA DEL MUNICIPIO DE PALMIRA. El monto aportado por el Municipio fue por SETECIENTOS NOVENTA Y SEIS MILLONES OCHOCIENTOS OCHENTA MIL PESOS MCTE ($798.880.000). el aporte de la Fundación UNIVERSIDAD DEL VALLE PALMIRA se convino en VEINTICINCO MILLONES OCHOCIENTOS NUEVE MIL SEISCIENTOS PESOS ($25.809.600) representados en recursos logísticos y operativos.</w:t>
      </w:r>
    </w:p>
    <w:p w14:paraId="6CAFC8A5" w14:textId="77777777" w:rsidR="00B67804" w:rsidRPr="00B67804" w:rsidRDefault="00B67804" w:rsidP="00B67804">
      <w:pPr>
        <w:tabs>
          <w:tab w:val="left" w:pos="142"/>
        </w:tabs>
        <w:rPr>
          <w:rFonts w:asciiTheme="majorHAnsi" w:hAnsiTheme="majorHAnsi"/>
        </w:rPr>
      </w:pPr>
    </w:p>
    <w:p w14:paraId="2EB14D77" w14:textId="77777777" w:rsidR="00B67804" w:rsidRPr="00B67804" w:rsidRDefault="00B67804" w:rsidP="00B67804">
      <w:pPr>
        <w:tabs>
          <w:tab w:val="left" w:pos="142"/>
        </w:tabs>
        <w:rPr>
          <w:rFonts w:asciiTheme="majorHAnsi" w:hAnsiTheme="majorHAnsi"/>
        </w:rPr>
      </w:pPr>
      <w:r w:rsidRPr="00B67804">
        <w:rPr>
          <w:rFonts w:asciiTheme="majorHAnsi" w:hAnsiTheme="majorHAnsi"/>
        </w:rPr>
        <w:t>3.- Plazo pactado para la ejecución del convenio fue de seis (6) meses contados a partir de la suscripción por parte de la Fundación Universidad del Valle Palmira del Acta de Inicio que se dio el 2 de octubre de 2017.</w:t>
      </w:r>
    </w:p>
    <w:p w14:paraId="62F59AE1" w14:textId="77777777" w:rsidR="00B67804" w:rsidRPr="00B67804" w:rsidRDefault="00B67804" w:rsidP="00B67804">
      <w:pPr>
        <w:tabs>
          <w:tab w:val="left" w:pos="142"/>
        </w:tabs>
        <w:rPr>
          <w:rFonts w:asciiTheme="majorHAnsi" w:hAnsiTheme="majorHAnsi"/>
        </w:rPr>
      </w:pPr>
    </w:p>
    <w:p w14:paraId="6B9441D4" w14:textId="45BDD8B1" w:rsidR="00075FEA" w:rsidRPr="00B67804" w:rsidRDefault="00B67804" w:rsidP="00B67804">
      <w:pPr>
        <w:rPr>
          <w:rFonts w:asciiTheme="majorHAnsi" w:hAnsiTheme="majorHAnsi"/>
        </w:rPr>
      </w:pPr>
      <w:r w:rsidRPr="00B67804">
        <w:rPr>
          <w:rFonts w:asciiTheme="majorHAnsi" w:hAnsiTheme="majorHAnsi"/>
        </w:rPr>
        <w:t>4.- Debido a situaciones aun por esclarecer, el convenio no fue ejecutado en el término pactados en la cláusula Cuarta del Convenio. Debido a ello y mediante nota interna 2019-160.8.1.2056 del 18 de junio de</w:t>
      </w:r>
    </w:p>
    <w:p w14:paraId="1F2ED897" w14:textId="6337EDF9" w:rsidR="00B67804" w:rsidRPr="00B67804" w:rsidRDefault="00B67804" w:rsidP="00B67804">
      <w:pPr>
        <w:rPr>
          <w:rFonts w:asciiTheme="majorHAnsi" w:hAnsiTheme="majorHAnsi"/>
        </w:rPr>
      </w:pPr>
    </w:p>
    <w:p w14:paraId="73B1507B" w14:textId="74697584" w:rsidR="00B67804" w:rsidRPr="00B67804" w:rsidRDefault="00B67804" w:rsidP="00B67804">
      <w:pPr>
        <w:rPr>
          <w:rFonts w:asciiTheme="majorHAnsi" w:hAnsiTheme="majorHAnsi"/>
        </w:rPr>
      </w:pPr>
    </w:p>
    <w:p w14:paraId="0CCE4C75" w14:textId="6157CF96" w:rsidR="00B67804" w:rsidRPr="00B67804" w:rsidRDefault="00B67804" w:rsidP="00B67804">
      <w:pPr>
        <w:rPr>
          <w:rFonts w:asciiTheme="majorHAnsi" w:hAnsiTheme="majorHAnsi"/>
        </w:rPr>
      </w:pPr>
    </w:p>
    <w:p w14:paraId="00C39858" w14:textId="6AB81C31" w:rsidR="00B67804" w:rsidRPr="00B67804" w:rsidRDefault="00B67804" w:rsidP="00B67804">
      <w:pPr>
        <w:rPr>
          <w:rFonts w:asciiTheme="majorHAnsi" w:hAnsiTheme="majorHAnsi"/>
        </w:rPr>
      </w:pPr>
    </w:p>
    <w:p w14:paraId="341E74CB" w14:textId="0F7371C1" w:rsidR="00B67804" w:rsidRPr="00B67804" w:rsidRDefault="00B67804" w:rsidP="00B67804">
      <w:pPr>
        <w:rPr>
          <w:rFonts w:asciiTheme="majorHAnsi" w:hAnsiTheme="majorHAnsi"/>
        </w:rPr>
      </w:pPr>
    </w:p>
    <w:p w14:paraId="5ADFC311" w14:textId="554B47BB" w:rsidR="00B67804" w:rsidRPr="00B67804" w:rsidRDefault="00B67804" w:rsidP="00B67804">
      <w:pPr>
        <w:rPr>
          <w:rFonts w:asciiTheme="majorHAnsi" w:hAnsiTheme="majorHAnsi"/>
        </w:rPr>
      </w:pPr>
    </w:p>
    <w:p w14:paraId="5027D489" w14:textId="77777777" w:rsidR="00B67804" w:rsidRPr="00B67804" w:rsidRDefault="00B67804" w:rsidP="00B67804">
      <w:pPr>
        <w:tabs>
          <w:tab w:val="left" w:pos="142"/>
        </w:tabs>
        <w:rPr>
          <w:rFonts w:asciiTheme="majorHAnsi" w:hAnsiTheme="majorHAnsi"/>
        </w:rPr>
      </w:pPr>
      <w:r w:rsidRPr="00B67804">
        <w:rPr>
          <w:rFonts w:asciiTheme="majorHAnsi" w:hAnsiTheme="majorHAnsi"/>
        </w:rPr>
        <w:t xml:space="preserve">2019 el Arquitecto RODRIGO OSWALDO DIAZ RICO en calidad de </w:t>
      </w:r>
      <w:proofErr w:type="gramStart"/>
      <w:r w:rsidRPr="00B67804">
        <w:rPr>
          <w:rFonts w:asciiTheme="majorHAnsi" w:hAnsiTheme="majorHAnsi"/>
        </w:rPr>
        <w:t>Secretario</w:t>
      </w:r>
      <w:proofErr w:type="gramEnd"/>
      <w:r w:rsidRPr="00B67804">
        <w:rPr>
          <w:rFonts w:asciiTheme="majorHAnsi" w:hAnsiTheme="majorHAnsi"/>
        </w:rPr>
        <w:t xml:space="preserve"> de Planeación requirió dar el trámite a un otro SI al convenio interadministrativo 753 de 2017 relacionando una serie de consideraciones que afectaron el desarrollo de las actividades que fueron comunicadas en el informe de supervisión del 9 de julio de 2019.</w:t>
      </w:r>
    </w:p>
    <w:p w14:paraId="23116217" w14:textId="77777777" w:rsidR="00B67804" w:rsidRPr="00B67804" w:rsidRDefault="00B67804" w:rsidP="00B67804">
      <w:pPr>
        <w:tabs>
          <w:tab w:val="left" w:pos="142"/>
        </w:tabs>
        <w:rPr>
          <w:rFonts w:asciiTheme="majorHAnsi" w:hAnsiTheme="majorHAnsi"/>
        </w:rPr>
      </w:pPr>
    </w:p>
    <w:p w14:paraId="6CECC96B" w14:textId="77777777" w:rsidR="00B67804" w:rsidRPr="00B67804" w:rsidRDefault="00B67804" w:rsidP="00B67804">
      <w:pPr>
        <w:tabs>
          <w:tab w:val="left" w:pos="142"/>
        </w:tabs>
        <w:rPr>
          <w:rFonts w:asciiTheme="majorHAnsi" w:hAnsiTheme="majorHAnsi"/>
        </w:rPr>
      </w:pPr>
      <w:r w:rsidRPr="00B67804">
        <w:rPr>
          <w:rFonts w:asciiTheme="majorHAnsi" w:hAnsiTheme="majorHAnsi"/>
        </w:rPr>
        <w:t xml:space="preserve">5.- El 30 de julio de 2019 fue suscrito entre la Fundación Universidad del Valle Palmira y el Municipio de Palmira el OTRO SI o Convenio Adicional al convenio interadministrativo 753 de 2017 requerido por el </w:t>
      </w:r>
      <w:proofErr w:type="gramStart"/>
      <w:r w:rsidRPr="00B67804">
        <w:rPr>
          <w:rFonts w:asciiTheme="majorHAnsi" w:hAnsiTheme="majorHAnsi"/>
        </w:rPr>
        <w:t>Secretario</w:t>
      </w:r>
      <w:proofErr w:type="gramEnd"/>
      <w:r w:rsidRPr="00B67804">
        <w:rPr>
          <w:rFonts w:asciiTheme="majorHAnsi" w:hAnsiTheme="majorHAnsi"/>
        </w:rPr>
        <w:t xml:space="preserve"> de Planeación RODRIGO OSWALDO DIAZ RICO quien actuó mediante delegación otorgada por el Alcalde Municipal según decreto 072 de abril 24 de 2019 en representación del Municipio de Palmira.</w:t>
      </w:r>
    </w:p>
    <w:p w14:paraId="52F80F7F" w14:textId="77777777" w:rsidR="00B67804" w:rsidRPr="00B67804" w:rsidRDefault="00B67804" w:rsidP="00B67804">
      <w:pPr>
        <w:tabs>
          <w:tab w:val="left" w:pos="142"/>
        </w:tabs>
        <w:rPr>
          <w:rFonts w:asciiTheme="majorHAnsi" w:hAnsiTheme="majorHAnsi"/>
        </w:rPr>
      </w:pPr>
    </w:p>
    <w:p w14:paraId="11775E45" w14:textId="77777777" w:rsidR="00B67804" w:rsidRPr="00B67804" w:rsidRDefault="00B67804" w:rsidP="00B67804">
      <w:pPr>
        <w:tabs>
          <w:tab w:val="left" w:pos="142"/>
        </w:tabs>
        <w:rPr>
          <w:rFonts w:asciiTheme="majorHAnsi" w:hAnsiTheme="majorHAnsi"/>
        </w:rPr>
      </w:pPr>
      <w:r w:rsidRPr="00B67804">
        <w:rPr>
          <w:rFonts w:asciiTheme="majorHAnsi" w:hAnsiTheme="majorHAnsi"/>
        </w:rPr>
        <w:t>6.- El convenio adicional estipulo en su clausula primera adicionar al valor nominal del convenio 753 de 2017 la suma de CIENTO SETENTA Y SIET MILLONES CIENTO NOVENTA MIL PESOS MCTE ($177.190.000) y en la cláusula segunda se estipulo prorrogar el plazo de ejecución en sesenta (60) días. Estableciendo finalmente que las demás cláusulas del convenio interadministrativo no sufren modificación y continua su vigencia.</w:t>
      </w:r>
    </w:p>
    <w:p w14:paraId="2B683C75" w14:textId="77777777" w:rsidR="00B67804" w:rsidRPr="00B67804" w:rsidRDefault="00B67804" w:rsidP="00B67804">
      <w:pPr>
        <w:tabs>
          <w:tab w:val="left" w:pos="142"/>
        </w:tabs>
        <w:rPr>
          <w:rFonts w:asciiTheme="majorHAnsi" w:hAnsiTheme="majorHAnsi"/>
        </w:rPr>
      </w:pPr>
    </w:p>
    <w:p w14:paraId="58E4219B" w14:textId="77777777" w:rsidR="00B67804" w:rsidRPr="00B67804" w:rsidRDefault="00B67804" w:rsidP="00B67804">
      <w:pPr>
        <w:tabs>
          <w:tab w:val="left" w:pos="142"/>
        </w:tabs>
        <w:rPr>
          <w:rFonts w:asciiTheme="majorHAnsi" w:hAnsiTheme="majorHAnsi"/>
        </w:rPr>
      </w:pPr>
      <w:r w:rsidRPr="00B67804">
        <w:rPr>
          <w:rFonts w:asciiTheme="majorHAnsi" w:hAnsiTheme="majorHAnsi"/>
        </w:rPr>
        <w:t>7.- El 13 de mayo de 2021 la FUNDACION UNIVERSIDAD DEL VALLE PALMIRA presento el informe final sobre las actividades cumplidas en desarrollo de la etapa 3 del proceso de estratificación. El supervisor del convenio GABRIEL RODRIGUEZ KURATOMI sobre la base de este informe el 24 de mayo y 14 de junio de 2021 informo a la administración sobre el cumplimiento del 80% del objeto contractual.</w:t>
      </w:r>
    </w:p>
    <w:p w14:paraId="42EA0DA0" w14:textId="77777777" w:rsidR="00B67804" w:rsidRPr="00B67804" w:rsidRDefault="00B67804" w:rsidP="00B67804">
      <w:pPr>
        <w:tabs>
          <w:tab w:val="left" w:pos="142"/>
        </w:tabs>
        <w:rPr>
          <w:rFonts w:asciiTheme="majorHAnsi" w:hAnsiTheme="majorHAnsi"/>
        </w:rPr>
      </w:pPr>
    </w:p>
    <w:p w14:paraId="2819968E" w14:textId="77777777" w:rsidR="00B67804" w:rsidRPr="00B67804" w:rsidRDefault="00B67804" w:rsidP="00B67804">
      <w:pPr>
        <w:tabs>
          <w:tab w:val="left" w:pos="142"/>
        </w:tabs>
        <w:rPr>
          <w:rFonts w:asciiTheme="majorHAnsi" w:hAnsiTheme="majorHAnsi"/>
        </w:rPr>
      </w:pPr>
      <w:r w:rsidRPr="00B67804">
        <w:rPr>
          <w:rFonts w:asciiTheme="majorHAnsi" w:hAnsiTheme="majorHAnsi"/>
        </w:rPr>
        <w:t xml:space="preserve">8.- El 21 de octubre de 2021 el Alcalde del Municipio de Palmira delego funciones para las actuaciones contractuales en la dirección de contratación del Municipio de Palmira para que mediante el </w:t>
      </w:r>
      <w:proofErr w:type="spellStart"/>
      <w:r w:rsidRPr="00B67804">
        <w:rPr>
          <w:rFonts w:asciiTheme="majorHAnsi" w:hAnsiTheme="majorHAnsi"/>
        </w:rPr>
        <w:t>tramite</w:t>
      </w:r>
      <w:proofErr w:type="spellEnd"/>
      <w:r w:rsidRPr="00B67804">
        <w:rPr>
          <w:rFonts w:asciiTheme="majorHAnsi" w:hAnsiTheme="majorHAnsi"/>
        </w:rPr>
        <w:t xml:space="preserve"> previsto por el </w:t>
      </w:r>
      <w:proofErr w:type="spellStart"/>
      <w:r w:rsidRPr="00B67804">
        <w:rPr>
          <w:rFonts w:asciiTheme="majorHAnsi" w:hAnsiTheme="majorHAnsi"/>
        </w:rPr>
        <w:t>articulo</w:t>
      </w:r>
      <w:proofErr w:type="spellEnd"/>
      <w:r w:rsidRPr="00B67804">
        <w:rPr>
          <w:rFonts w:asciiTheme="majorHAnsi" w:hAnsiTheme="majorHAnsi"/>
        </w:rPr>
        <w:t xml:space="preserve"> 86 de la ley </w:t>
      </w:r>
      <w:proofErr w:type="gramStart"/>
      <w:r w:rsidRPr="00B67804">
        <w:rPr>
          <w:rFonts w:asciiTheme="majorHAnsi" w:hAnsiTheme="majorHAnsi"/>
        </w:rPr>
        <w:t>1474,  de</w:t>
      </w:r>
      <w:proofErr w:type="gramEnd"/>
      <w:r w:rsidRPr="00B67804">
        <w:rPr>
          <w:rFonts w:asciiTheme="majorHAnsi" w:hAnsiTheme="majorHAnsi"/>
        </w:rPr>
        <w:t xml:space="preserve"> inicio al procedimiento administrativo sancionatorio de incumplimiento contractual.</w:t>
      </w:r>
    </w:p>
    <w:p w14:paraId="78B1A0D8" w14:textId="77777777" w:rsidR="00B67804" w:rsidRPr="00B67804" w:rsidRDefault="00B67804" w:rsidP="00B67804">
      <w:pPr>
        <w:tabs>
          <w:tab w:val="left" w:pos="142"/>
        </w:tabs>
        <w:rPr>
          <w:rFonts w:asciiTheme="majorHAnsi" w:hAnsiTheme="majorHAnsi"/>
        </w:rPr>
      </w:pPr>
    </w:p>
    <w:p w14:paraId="517487D0" w14:textId="77777777" w:rsidR="00B67804" w:rsidRPr="00B67804" w:rsidRDefault="00B67804" w:rsidP="00B67804">
      <w:pPr>
        <w:tabs>
          <w:tab w:val="left" w:pos="142"/>
        </w:tabs>
        <w:rPr>
          <w:rFonts w:asciiTheme="majorHAnsi" w:hAnsiTheme="majorHAnsi"/>
        </w:rPr>
      </w:pPr>
      <w:r w:rsidRPr="00B67804">
        <w:rPr>
          <w:rFonts w:asciiTheme="majorHAnsi" w:hAnsiTheme="majorHAnsi"/>
        </w:rPr>
        <w:t>9.- El 21 de octubre de 2021 la dirección de contratación del Municipio de Palmira cito a la FUNDACION UNIVERSIDAD DEL VALLE PALMIRA para el día 28 de octubre de 2021 a las once (11) am, con el propósito de que compareciera a la audiencia señalada por el artículo 86 de la ley 1474 de 2011 y determinar posible incumplimiento de las obligaciones contenidas en el convenio 753 de 2017 y su otro si de 30 julio de 2019</w:t>
      </w:r>
    </w:p>
    <w:p w14:paraId="7E8B0E73" w14:textId="77777777" w:rsidR="00B67804" w:rsidRPr="00B67804" w:rsidRDefault="00B67804" w:rsidP="00B67804">
      <w:pPr>
        <w:tabs>
          <w:tab w:val="left" w:pos="142"/>
        </w:tabs>
        <w:rPr>
          <w:rFonts w:asciiTheme="majorHAnsi" w:hAnsiTheme="majorHAnsi"/>
        </w:rPr>
      </w:pPr>
    </w:p>
    <w:p w14:paraId="37B65474" w14:textId="77777777" w:rsidR="00B67804" w:rsidRPr="00B67804" w:rsidRDefault="00B67804" w:rsidP="00B67804">
      <w:pPr>
        <w:tabs>
          <w:tab w:val="left" w:pos="142"/>
        </w:tabs>
        <w:rPr>
          <w:rFonts w:asciiTheme="majorHAnsi" w:hAnsiTheme="majorHAnsi"/>
        </w:rPr>
      </w:pPr>
      <w:r w:rsidRPr="00B67804">
        <w:rPr>
          <w:rFonts w:asciiTheme="majorHAnsi" w:hAnsiTheme="majorHAnsi"/>
        </w:rPr>
        <w:lastRenderedPageBreak/>
        <w:t>10.- En desarrollo de la citada audiencia con fundamento en los informes de supervisión fechados 24 de mayo de 2021 y 14 de junio de 2021 suscritos por el supervisor del convenio GABRIEL RODRIGUEZ KURATOMI la dirección de contratación del municipio de Palmira considero que con base en la reclasificación de estrato a 826 viviendas fueron aportados 704 registros fotográficos lo cual determina, según el informe de supervisión y la dirección de contratación, el cumplimiento del 80% del objeto del convenio en la etapa tres.</w:t>
      </w:r>
    </w:p>
    <w:p w14:paraId="68D2B796" w14:textId="77777777" w:rsidR="00B67804" w:rsidRPr="00B67804" w:rsidRDefault="00B67804" w:rsidP="00B67804">
      <w:pPr>
        <w:tabs>
          <w:tab w:val="left" w:pos="142"/>
        </w:tabs>
        <w:rPr>
          <w:rFonts w:asciiTheme="majorHAnsi" w:hAnsiTheme="majorHAnsi"/>
        </w:rPr>
      </w:pPr>
    </w:p>
    <w:p w14:paraId="76D9E056" w14:textId="77777777" w:rsidR="00B67804" w:rsidRPr="00B67804" w:rsidRDefault="00B67804" w:rsidP="00B67804">
      <w:pPr>
        <w:tabs>
          <w:tab w:val="left" w:pos="142"/>
        </w:tabs>
        <w:rPr>
          <w:rFonts w:asciiTheme="majorHAnsi" w:hAnsiTheme="majorHAnsi"/>
        </w:rPr>
      </w:pPr>
      <w:r w:rsidRPr="00B67804">
        <w:rPr>
          <w:rFonts w:asciiTheme="majorHAnsi" w:hAnsiTheme="majorHAnsi"/>
        </w:rPr>
        <w:t xml:space="preserve">11.- De acuerdo a lo evaluado por el informe de supervisión el 20% faltante corresponde a 342 viviendas que no cuentan con registro fotográfico. </w:t>
      </w:r>
    </w:p>
    <w:p w14:paraId="1F804432" w14:textId="77777777" w:rsidR="00B67804" w:rsidRPr="00B67804" w:rsidRDefault="00B67804" w:rsidP="00B67804">
      <w:pPr>
        <w:tabs>
          <w:tab w:val="left" w:pos="142"/>
        </w:tabs>
        <w:rPr>
          <w:rFonts w:asciiTheme="majorHAnsi" w:hAnsiTheme="majorHAnsi"/>
        </w:rPr>
      </w:pPr>
    </w:p>
    <w:p w14:paraId="16C4FCDF" w14:textId="77777777" w:rsidR="00B67804" w:rsidRPr="00B67804" w:rsidRDefault="00B67804" w:rsidP="00B67804">
      <w:pPr>
        <w:tabs>
          <w:tab w:val="left" w:pos="142"/>
        </w:tabs>
        <w:rPr>
          <w:rFonts w:asciiTheme="majorHAnsi" w:hAnsiTheme="majorHAnsi"/>
        </w:rPr>
      </w:pPr>
      <w:r w:rsidRPr="00B67804">
        <w:rPr>
          <w:rFonts w:asciiTheme="majorHAnsi" w:hAnsiTheme="majorHAnsi"/>
        </w:rPr>
        <w:t>12.- El informe correspondiente a la ejecución del convenio en su etapa tres fue presentado por la Fundación Universidad del Valle Palmira el 13 de mayo de 2021 en él se acompañaron los registros fotográficos que dice el informe de supervisión hicieron falta, conforme metodología dada por el DANE, para situaciones de atipicidad como la presente.</w:t>
      </w:r>
    </w:p>
    <w:p w14:paraId="1E25AE29" w14:textId="77777777" w:rsidR="00B67804" w:rsidRPr="00B67804" w:rsidRDefault="00B67804" w:rsidP="00B67804">
      <w:pPr>
        <w:tabs>
          <w:tab w:val="left" w:pos="142"/>
        </w:tabs>
        <w:rPr>
          <w:rFonts w:asciiTheme="majorHAnsi" w:hAnsiTheme="majorHAnsi" w:cs="Arial"/>
          <w:b/>
        </w:rPr>
      </w:pPr>
    </w:p>
    <w:p w14:paraId="269728BF" w14:textId="77777777" w:rsidR="00B67804" w:rsidRPr="00B67804" w:rsidRDefault="00B67804" w:rsidP="00B67804">
      <w:pPr>
        <w:tabs>
          <w:tab w:val="left" w:pos="142"/>
        </w:tabs>
        <w:jc w:val="center"/>
        <w:rPr>
          <w:rFonts w:asciiTheme="majorHAnsi" w:hAnsiTheme="majorHAnsi" w:cs="Arial"/>
          <w:b/>
        </w:rPr>
      </w:pPr>
      <w:r w:rsidRPr="00B67804">
        <w:rPr>
          <w:rFonts w:asciiTheme="majorHAnsi" w:hAnsiTheme="majorHAnsi" w:cs="Arial"/>
          <w:b/>
        </w:rPr>
        <w:t>PRETENSIONES Y CUANTÍA ESTIMADA:</w:t>
      </w:r>
    </w:p>
    <w:p w14:paraId="1002F6AA" w14:textId="77777777" w:rsidR="00B67804" w:rsidRPr="00B67804" w:rsidRDefault="00B67804" w:rsidP="00B67804">
      <w:pPr>
        <w:pStyle w:val="Predeterminado"/>
        <w:rPr>
          <w:rFonts w:asciiTheme="majorHAnsi" w:hAnsiTheme="majorHAnsi"/>
          <w:sz w:val="24"/>
          <w:szCs w:val="24"/>
        </w:rPr>
      </w:pPr>
    </w:p>
    <w:p w14:paraId="5CBD91FA" w14:textId="77777777" w:rsidR="00B67804" w:rsidRPr="00B67804" w:rsidRDefault="00B67804" w:rsidP="00B67804">
      <w:pPr>
        <w:pStyle w:val="Predeterminado"/>
        <w:rPr>
          <w:rFonts w:asciiTheme="majorHAnsi" w:hAnsiTheme="majorHAnsi"/>
          <w:sz w:val="24"/>
          <w:szCs w:val="24"/>
        </w:rPr>
      </w:pPr>
      <w:r w:rsidRPr="00B67804">
        <w:rPr>
          <w:rFonts w:asciiTheme="majorHAnsi" w:hAnsiTheme="majorHAnsi"/>
          <w:sz w:val="24"/>
          <w:szCs w:val="24"/>
        </w:rPr>
        <w:t xml:space="preserve">1.- Revocar la Resolución 188 de 2021 mediante la cual fue declarado el siniestro de incumplimiento, junto con su otro si, de 30 de julio de 2019 del convenio interadministrativo de 2017. </w:t>
      </w:r>
    </w:p>
    <w:p w14:paraId="6F9602D4" w14:textId="77777777" w:rsidR="00B67804" w:rsidRPr="00B67804" w:rsidRDefault="00B67804" w:rsidP="00B67804">
      <w:pPr>
        <w:pStyle w:val="Predeterminado"/>
        <w:rPr>
          <w:rFonts w:asciiTheme="majorHAnsi" w:hAnsiTheme="majorHAnsi"/>
          <w:sz w:val="24"/>
          <w:szCs w:val="24"/>
        </w:rPr>
      </w:pPr>
    </w:p>
    <w:p w14:paraId="68F76524" w14:textId="77777777" w:rsidR="00B67804" w:rsidRPr="00B67804" w:rsidRDefault="00B67804" w:rsidP="00B67804">
      <w:pPr>
        <w:pStyle w:val="Predeterminado"/>
        <w:rPr>
          <w:rFonts w:asciiTheme="majorHAnsi" w:hAnsiTheme="majorHAnsi"/>
          <w:sz w:val="24"/>
          <w:szCs w:val="24"/>
        </w:rPr>
      </w:pPr>
      <w:r w:rsidRPr="00B67804">
        <w:rPr>
          <w:rFonts w:asciiTheme="majorHAnsi" w:hAnsiTheme="majorHAnsi"/>
          <w:sz w:val="24"/>
          <w:szCs w:val="24"/>
        </w:rPr>
        <w:t xml:space="preserve">2.- Revocar la Resolución No 230 de noviembre de 2022 mediante la cual fue confirmado lo resuelto por el acto administrativo precitado. </w:t>
      </w:r>
    </w:p>
    <w:p w14:paraId="75F00618" w14:textId="77777777" w:rsidR="00B67804" w:rsidRPr="00B67804" w:rsidRDefault="00B67804" w:rsidP="00B67804">
      <w:pPr>
        <w:pStyle w:val="Predeterminado"/>
        <w:rPr>
          <w:rFonts w:asciiTheme="majorHAnsi" w:hAnsiTheme="majorHAnsi"/>
          <w:sz w:val="24"/>
          <w:szCs w:val="24"/>
        </w:rPr>
      </w:pPr>
    </w:p>
    <w:p w14:paraId="1426B5C4" w14:textId="77777777" w:rsidR="00B67804" w:rsidRPr="00B67804" w:rsidRDefault="00B67804" w:rsidP="00B67804">
      <w:pPr>
        <w:pStyle w:val="Predeterminado"/>
        <w:rPr>
          <w:rFonts w:asciiTheme="majorHAnsi" w:hAnsiTheme="majorHAnsi"/>
          <w:sz w:val="24"/>
          <w:szCs w:val="24"/>
        </w:rPr>
      </w:pPr>
      <w:r w:rsidRPr="00B67804">
        <w:rPr>
          <w:rFonts w:asciiTheme="majorHAnsi" w:hAnsiTheme="majorHAnsi"/>
          <w:sz w:val="24"/>
          <w:szCs w:val="24"/>
        </w:rPr>
        <w:t xml:space="preserve">3.- Que determinado lo anterior se reconozca los valores adeudados a la Fundación Universidad de Valle Palmira como saldo o desembolso final VEINTINUEVE MILLONES QUINIENTOS TREINTA Y UN MIL SEISCIENTOS SESENTA Y SIETE PESOS MCTE ($29.531.667) por la ejecución del objeto del convenio 753 de 2017 y su otro </w:t>
      </w:r>
      <w:proofErr w:type="spellStart"/>
      <w:r w:rsidRPr="00B67804">
        <w:rPr>
          <w:rFonts w:asciiTheme="majorHAnsi" w:hAnsiTheme="majorHAnsi"/>
          <w:sz w:val="24"/>
          <w:szCs w:val="24"/>
        </w:rPr>
        <w:t>si</w:t>
      </w:r>
      <w:proofErr w:type="spellEnd"/>
      <w:r w:rsidRPr="00B67804">
        <w:rPr>
          <w:rFonts w:asciiTheme="majorHAnsi" w:hAnsiTheme="majorHAnsi"/>
          <w:sz w:val="24"/>
          <w:szCs w:val="24"/>
        </w:rPr>
        <w:t>.</w:t>
      </w:r>
    </w:p>
    <w:p w14:paraId="2C17DB2C" w14:textId="77777777" w:rsidR="00B67804" w:rsidRPr="00B67804" w:rsidRDefault="00B67804" w:rsidP="00B67804">
      <w:pPr>
        <w:pStyle w:val="Predeterminado"/>
        <w:rPr>
          <w:rFonts w:asciiTheme="majorHAnsi" w:hAnsiTheme="majorHAnsi"/>
          <w:sz w:val="24"/>
          <w:szCs w:val="24"/>
        </w:rPr>
      </w:pPr>
      <w:r w:rsidRPr="00B67804">
        <w:rPr>
          <w:rFonts w:asciiTheme="majorHAnsi" w:hAnsiTheme="majorHAnsi"/>
          <w:sz w:val="24"/>
          <w:szCs w:val="24"/>
        </w:rPr>
        <w:t xml:space="preserve"> </w:t>
      </w:r>
    </w:p>
    <w:p w14:paraId="2A3FFEF4" w14:textId="77777777" w:rsidR="00B67804" w:rsidRPr="00B67804" w:rsidRDefault="00B67804" w:rsidP="00B67804">
      <w:pPr>
        <w:pStyle w:val="Predeterminado"/>
        <w:rPr>
          <w:rFonts w:asciiTheme="majorHAnsi" w:hAnsiTheme="majorHAnsi"/>
          <w:sz w:val="24"/>
          <w:szCs w:val="24"/>
        </w:rPr>
      </w:pPr>
      <w:r w:rsidRPr="00B67804">
        <w:rPr>
          <w:rFonts w:asciiTheme="majorHAnsi" w:hAnsiTheme="majorHAnsi"/>
          <w:sz w:val="24"/>
          <w:szCs w:val="24"/>
        </w:rPr>
        <w:t xml:space="preserve">4.- Se reconozca y pague como lucro cesante y daño emergente a la Fundación Universidad del Valle Palmira el valor de CIENTO NOVENTA MILLONES DE PESOS como consecuencia de los gastos que hubo de asumir para el cumplimiento del convenio debido a la mora e incumplimiento del Municipio de sus obligaciones. </w:t>
      </w:r>
    </w:p>
    <w:p w14:paraId="7424938E" w14:textId="77777777" w:rsidR="00B67804" w:rsidRPr="00B67804" w:rsidRDefault="00B67804" w:rsidP="00B67804">
      <w:pPr>
        <w:pStyle w:val="Predeterminado"/>
        <w:rPr>
          <w:rFonts w:asciiTheme="majorHAnsi" w:hAnsiTheme="majorHAnsi"/>
          <w:sz w:val="24"/>
          <w:szCs w:val="24"/>
        </w:rPr>
      </w:pPr>
    </w:p>
    <w:p w14:paraId="3A3DA247" w14:textId="77777777" w:rsidR="00B67804" w:rsidRPr="00B67804" w:rsidRDefault="00B67804" w:rsidP="00B67804">
      <w:pPr>
        <w:pStyle w:val="Predeterminado"/>
        <w:rPr>
          <w:rFonts w:asciiTheme="majorHAnsi" w:hAnsiTheme="majorHAnsi"/>
          <w:sz w:val="24"/>
          <w:szCs w:val="24"/>
        </w:rPr>
      </w:pPr>
      <w:r w:rsidRPr="00B67804">
        <w:rPr>
          <w:rFonts w:asciiTheme="majorHAnsi" w:hAnsiTheme="majorHAnsi"/>
          <w:sz w:val="24"/>
          <w:szCs w:val="24"/>
        </w:rPr>
        <w:t xml:space="preserve">5.- Se reconozca y pague con ocasión del daño moral y patrimonial causado a la Fundación Universidad del Valle Palmira con la declaratoria de incumplimiento, por no ser ajustada a derecho, el valor de 100 salarios mínimos legales vigentes. </w:t>
      </w:r>
    </w:p>
    <w:p w14:paraId="698742A6" w14:textId="77777777" w:rsidR="00B67804" w:rsidRPr="00B67804" w:rsidRDefault="00B67804" w:rsidP="00B67804">
      <w:pPr>
        <w:pStyle w:val="Predeterminado"/>
        <w:rPr>
          <w:rFonts w:asciiTheme="majorHAnsi" w:hAnsiTheme="majorHAnsi"/>
          <w:sz w:val="24"/>
          <w:szCs w:val="24"/>
        </w:rPr>
      </w:pPr>
    </w:p>
    <w:p w14:paraId="0514D7BD" w14:textId="77777777" w:rsidR="00B67804" w:rsidRPr="00B67804" w:rsidRDefault="00B67804" w:rsidP="00B67804">
      <w:pPr>
        <w:pStyle w:val="Predeterminado"/>
        <w:rPr>
          <w:rFonts w:asciiTheme="majorHAnsi" w:hAnsiTheme="majorHAnsi"/>
          <w:sz w:val="24"/>
          <w:szCs w:val="24"/>
        </w:rPr>
      </w:pPr>
      <w:r w:rsidRPr="00B67804">
        <w:rPr>
          <w:rFonts w:asciiTheme="majorHAnsi" w:hAnsiTheme="majorHAnsi"/>
          <w:sz w:val="24"/>
          <w:szCs w:val="24"/>
        </w:rPr>
        <w:t xml:space="preserve">6.- Se reconozca mediante acuerdo y con apego a las normas que rigen la contratación </w:t>
      </w:r>
      <w:proofErr w:type="spellStart"/>
      <w:r w:rsidRPr="00B67804">
        <w:rPr>
          <w:rFonts w:asciiTheme="majorHAnsi" w:hAnsiTheme="majorHAnsi"/>
          <w:sz w:val="24"/>
          <w:szCs w:val="24"/>
        </w:rPr>
        <w:t>publica</w:t>
      </w:r>
      <w:proofErr w:type="spellEnd"/>
      <w:r w:rsidRPr="00B67804">
        <w:rPr>
          <w:rFonts w:asciiTheme="majorHAnsi" w:hAnsiTheme="majorHAnsi"/>
          <w:sz w:val="24"/>
          <w:szCs w:val="24"/>
        </w:rPr>
        <w:t xml:space="preserve"> que entre el Municipio de Palmira y La Fundación Universidad del Valle fue suscrito un contrato </w:t>
      </w:r>
      <w:r w:rsidRPr="00B67804">
        <w:rPr>
          <w:rFonts w:asciiTheme="majorHAnsi" w:hAnsiTheme="majorHAnsi"/>
          <w:sz w:val="24"/>
          <w:szCs w:val="24"/>
        </w:rPr>
        <w:lastRenderedPageBreak/>
        <w:t xml:space="preserve">interadministrativo que debe guiarse en todos sus actos y decisiones relacionados con el objeto y cumplimiento del contrato por la ley 80 de 1993 y demás normas que la regulan o complementan. </w:t>
      </w:r>
    </w:p>
    <w:p w14:paraId="0BA523B0" w14:textId="77777777" w:rsidR="00B67804" w:rsidRPr="00B67804" w:rsidRDefault="00B67804" w:rsidP="00B67804">
      <w:pPr>
        <w:pStyle w:val="Predeterminado"/>
        <w:rPr>
          <w:rFonts w:asciiTheme="majorHAnsi" w:hAnsiTheme="majorHAnsi"/>
          <w:sz w:val="24"/>
          <w:szCs w:val="24"/>
        </w:rPr>
      </w:pPr>
    </w:p>
    <w:p w14:paraId="5956C8FD" w14:textId="77777777" w:rsidR="00B67804" w:rsidRPr="00B67804" w:rsidRDefault="00B67804" w:rsidP="00B67804">
      <w:pPr>
        <w:pStyle w:val="Predeterminado"/>
        <w:rPr>
          <w:rFonts w:asciiTheme="majorHAnsi" w:hAnsiTheme="majorHAnsi"/>
          <w:sz w:val="24"/>
          <w:szCs w:val="24"/>
        </w:rPr>
      </w:pPr>
      <w:r w:rsidRPr="00B67804">
        <w:rPr>
          <w:rFonts w:asciiTheme="majorHAnsi" w:hAnsiTheme="majorHAnsi"/>
          <w:sz w:val="24"/>
          <w:szCs w:val="24"/>
        </w:rPr>
        <w:t xml:space="preserve">7.- Que el convocado realice el pago de Honorarios de abogado establecidas en las tablas de honorarios profesionales conforme al contrato suscrito entre la Fundación Universidad del Valle Palmira y el profesional que la representa para esta diligencia. </w:t>
      </w:r>
    </w:p>
    <w:p w14:paraId="716978A2" w14:textId="77777777" w:rsidR="00B67804" w:rsidRPr="00B67804" w:rsidRDefault="00B67804" w:rsidP="00B67804">
      <w:pPr>
        <w:pStyle w:val="Predeterminado"/>
        <w:rPr>
          <w:rFonts w:asciiTheme="majorHAnsi" w:hAnsiTheme="majorHAnsi"/>
          <w:sz w:val="24"/>
          <w:szCs w:val="24"/>
        </w:rPr>
      </w:pPr>
    </w:p>
    <w:p w14:paraId="7645E02D" w14:textId="77777777" w:rsidR="00B67804" w:rsidRPr="00B67804" w:rsidRDefault="00B67804" w:rsidP="00B67804">
      <w:pPr>
        <w:pStyle w:val="Predeterminado"/>
        <w:rPr>
          <w:rFonts w:asciiTheme="majorHAnsi" w:hAnsiTheme="majorHAnsi"/>
          <w:sz w:val="24"/>
          <w:szCs w:val="24"/>
        </w:rPr>
      </w:pPr>
      <w:r w:rsidRPr="00B67804">
        <w:rPr>
          <w:rFonts w:asciiTheme="majorHAnsi" w:hAnsiTheme="majorHAnsi"/>
          <w:sz w:val="24"/>
          <w:szCs w:val="24"/>
        </w:rPr>
        <w:t>8.- Que los valores económicos resultado del acuerdo sean actualizados desde la fecha en que se causaron hasta la fecha en que se realice el pago conforme al IPC determinado por el DANE</w:t>
      </w:r>
    </w:p>
    <w:p w14:paraId="71B60BF7" w14:textId="77777777" w:rsidR="00B67804" w:rsidRPr="00B67804" w:rsidRDefault="00B67804" w:rsidP="00B67804">
      <w:pPr>
        <w:pStyle w:val="Predeterminado"/>
        <w:rPr>
          <w:rFonts w:asciiTheme="majorHAnsi" w:hAnsiTheme="majorHAnsi" w:cs="Arial"/>
          <w:b/>
          <w:bCs/>
          <w:iCs/>
          <w:sz w:val="24"/>
          <w:szCs w:val="24"/>
        </w:rPr>
      </w:pPr>
    </w:p>
    <w:p w14:paraId="6FF5F90A" w14:textId="77777777" w:rsidR="00B67804" w:rsidRPr="00B67804" w:rsidRDefault="00B67804" w:rsidP="00B67804">
      <w:pPr>
        <w:pStyle w:val="Predeterminado"/>
        <w:jc w:val="center"/>
        <w:rPr>
          <w:rFonts w:asciiTheme="majorHAnsi" w:hAnsiTheme="majorHAnsi" w:cs="Arial"/>
          <w:b/>
          <w:bCs/>
          <w:iCs/>
          <w:sz w:val="24"/>
          <w:szCs w:val="24"/>
        </w:rPr>
      </w:pPr>
    </w:p>
    <w:p w14:paraId="4A5FEDA4" w14:textId="77777777" w:rsidR="00B67804" w:rsidRPr="00B67804" w:rsidRDefault="00B67804" w:rsidP="00B67804">
      <w:pPr>
        <w:pStyle w:val="Predeterminado"/>
        <w:jc w:val="center"/>
        <w:rPr>
          <w:rFonts w:asciiTheme="majorHAnsi" w:hAnsiTheme="majorHAnsi" w:cs="Arial"/>
          <w:b/>
          <w:bCs/>
          <w:iCs/>
          <w:sz w:val="24"/>
          <w:szCs w:val="24"/>
        </w:rPr>
      </w:pPr>
      <w:r w:rsidRPr="00B67804">
        <w:rPr>
          <w:rFonts w:asciiTheme="majorHAnsi" w:hAnsiTheme="majorHAnsi" w:cs="Arial"/>
          <w:b/>
          <w:bCs/>
          <w:iCs/>
          <w:sz w:val="24"/>
          <w:szCs w:val="24"/>
        </w:rPr>
        <w:t>OPORTUNIDAD DE LA DEMANDA O DE LA SOLICITUD DE CONCILIACIÓN (CADUCIDAD)</w:t>
      </w:r>
    </w:p>
    <w:p w14:paraId="5D2C93E7" w14:textId="77777777" w:rsidR="00B67804" w:rsidRPr="00B67804" w:rsidRDefault="00B67804" w:rsidP="00B67804">
      <w:pPr>
        <w:tabs>
          <w:tab w:val="left" w:pos="142"/>
        </w:tabs>
        <w:rPr>
          <w:rFonts w:asciiTheme="majorHAnsi" w:hAnsiTheme="majorHAnsi" w:cs="Arial"/>
          <w:b/>
        </w:rPr>
      </w:pPr>
    </w:p>
    <w:p w14:paraId="1232F144" w14:textId="77777777" w:rsidR="00B67804" w:rsidRPr="00B67804" w:rsidRDefault="00B67804" w:rsidP="00B67804">
      <w:pPr>
        <w:tabs>
          <w:tab w:val="left" w:pos="142"/>
        </w:tabs>
        <w:rPr>
          <w:rFonts w:asciiTheme="majorHAnsi" w:hAnsiTheme="majorHAnsi"/>
        </w:rPr>
      </w:pPr>
      <w:r w:rsidRPr="00B67804">
        <w:rPr>
          <w:rFonts w:asciiTheme="majorHAnsi" w:hAnsiTheme="majorHAnsi"/>
        </w:rPr>
        <w:t>Dentro de la solicitud del proceso prejudicial se indica por parte del suscrito que el asunto se encuentra</w:t>
      </w:r>
    </w:p>
    <w:p w14:paraId="475E8A34" w14:textId="77777777" w:rsidR="00B67804" w:rsidRPr="00B67804" w:rsidRDefault="00B67804" w:rsidP="00B67804">
      <w:pPr>
        <w:tabs>
          <w:tab w:val="left" w:pos="142"/>
        </w:tabs>
        <w:rPr>
          <w:rFonts w:asciiTheme="majorHAnsi" w:hAnsiTheme="majorHAnsi"/>
        </w:rPr>
      </w:pPr>
      <w:r w:rsidRPr="00B67804">
        <w:rPr>
          <w:rFonts w:asciiTheme="majorHAnsi" w:hAnsiTheme="majorHAnsi"/>
        </w:rPr>
        <w:t>dentro de los términos legales para la presentación de esta actuación prejudicial.</w:t>
      </w:r>
    </w:p>
    <w:p w14:paraId="10E8D831" w14:textId="77777777" w:rsidR="00B67804" w:rsidRPr="00B67804" w:rsidRDefault="00B67804" w:rsidP="00B67804">
      <w:pPr>
        <w:autoSpaceDE w:val="0"/>
        <w:autoSpaceDN w:val="0"/>
        <w:rPr>
          <w:rFonts w:asciiTheme="majorHAnsi" w:hAnsiTheme="majorHAnsi" w:cs="Arial"/>
          <w:bCs/>
          <w:iCs/>
        </w:rPr>
      </w:pPr>
    </w:p>
    <w:p w14:paraId="4FBA8779" w14:textId="77777777" w:rsidR="00B67804" w:rsidRPr="00B67804" w:rsidRDefault="00B67804" w:rsidP="00B67804">
      <w:pPr>
        <w:pStyle w:val="Predeterminado"/>
        <w:jc w:val="center"/>
        <w:rPr>
          <w:rFonts w:asciiTheme="majorHAnsi" w:hAnsiTheme="majorHAnsi" w:cs="Arial"/>
          <w:b/>
          <w:bCs/>
          <w:iCs/>
          <w:sz w:val="24"/>
          <w:szCs w:val="24"/>
        </w:rPr>
      </w:pPr>
      <w:r w:rsidRPr="00B67804">
        <w:rPr>
          <w:rFonts w:asciiTheme="majorHAnsi" w:hAnsiTheme="majorHAnsi" w:cs="Arial"/>
          <w:b/>
          <w:bCs/>
          <w:iCs/>
          <w:sz w:val="24"/>
          <w:szCs w:val="24"/>
        </w:rPr>
        <w:t>DOCUMENTOS APORTADOS</w:t>
      </w:r>
    </w:p>
    <w:p w14:paraId="41EC0539" w14:textId="77777777" w:rsidR="00B67804" w:rsidRPr="00B67804" w:rsidRDefault="00B67804" w:rsidP="00B67804">
      <w:pPr>
        <w:pStyle w:val="Predeterminado"/>
        <w:jc w:val="both"/>
        <w:rPr>
          <w:rFonts w:asciiTheme="majorHAnsi" w:hAnsiTheme="majorHAnsi" w:cs="Arial"/>
          <w:b/>
          <w:bCs/>
          <w:iCs/>
          <w:sz w:val="24"/>
          <w:szCs w:val="24"/>
        </w:rPr>
      </w:pPr>
    </w:p>
    <w:p w14:paraId="16913480" w14:textId="77777777" w:rsidR="00B67804" w:rsidRPr="00B67804" w:rsidRDefault="00B67804" w:rsidP="00B67804">
      <w:pPr>
        <w:pStyle w:val="Predeterminado"/>
        <w:jc w:val="both"/>
        <w:rPr>
          <w:rFonts w:asciiTheme="majorHAnsi" w:hAnsiTheme="majorHAnsi"/>
          <w:sz w:val="24"/>
          <w:szCs w:val="24"/>
        </w:rPr>
      </w:pPr>
      <w:r w:rsidRPr="00B67804">
        <w:rPr>
          <w:rFonts w:asciiTheme="majorHAnsi" w:hAnsiTheme="majorHAnsi"/>
          <w:sz w:val="24"/>
          <w:szCs w:val="24"/>
        </w:rPr>
        <w:t xml:space="preserve">1. Copia del convenio interadministrativo 753 de 2017 suscrito entre las partes citadas en la presente convocatoria. 2. Copia del contrato adicional del 15 de junio de 2019. </w:t>
      </w:r>
    </w:p>
    <w:p w14:paraId="5B97CF57" w14:textId="77777777" w:rsidR="00B67804" w:rsidRPr="00B67804" w:rsidRDefault="00B67804" w:rsidP="00B67804">
      <w:pPr>
        <w:pStyle w:val="Predeterminado"/>
        <w:jc w:val="both"/>
        <w:rPr>
          <w:rFonts w:asciiTheme="majorHAnsi" w:hAnsiTheme="majorHAnsi"/>
          <w:sz w:val="24"/>
          <w:szCs w:val="24"/>
        </w:rPr>
      </w:pPr>
      <w:r w:rsidRPr="00B67804">
        <w:rPr>
          <w:rFonts w:asciiTheme="majorHAnsi" w:hAnsiTheme="majorHAnsi"/>
          <w:sz w:val="24"/>
          <w:szCs w:val="24"/>
        </w:rPr>
        <w:t xml:space="preserve">3. Copia de respuesta a la personería municipal de palmira suscrita por la Doctora DIANA ALEXANDRA PINO GIRON informando sobre el cumplimiento total del contrato que establece en un 99.6 de lo ejecutado. </w:t>
      </w:r>
    </w:p>
    <w:p w14:paraId="69FA2953" w14:textId="77777777" w:rsidR="00B67804" w:rsidRPr="00B67804" w:rsidRDefault="00B67804" w:rsidP="00B67804">
      <w:pPr>
        <w:pStyle w:val="Predeterminado"/>
        <w:jc w:val="both"/>
        <w:rPr>
          <w:rFonts w:asciiTheme="majorHAnsi" w:hAnsiTheme="majorHAnsi"/>
          <w:sz w:val="24"/>
          <w:szCs w:val="24"/>
        </w:rPr>
      </w:pPr>
      <w:r w:rsidRPr="00B67804">
        <w:rPr>
          <w:rFonts w:asciiTheme="majorHAnsi" w:hAnsiTheme="majorHAnsi"/>
          <w:sz w:val="24"/>
          <w:szCs w:val="24"/>
        </w:rPr>
        <w:t xml:space="preserve">4. Copia de acta de reunión realizada el 16 de marzo de 2021 entre funcionarios de la Alcaldía de Palmira a cargo del cumplimiento de las labores contractuales y representantes de la fundación y personas encargadas de la ejecución del contrato. </w:t>
      </w:r>
    </w:p>
    <w:p w14:paraId="3D10447F" w14:textId="77777777" w:rsidR="00B67804" w:rsidRPr="00B67804" w:rsidRDefault="00B67804" w:rsidP="00B67804">
      <w:pPr>
        <w:pStyle w:val="Predeterminado"/>
        <w:jc w:val="both"/>
        <w:rPr>
          <w:rFonts w:asciiTheme="majorHAnsi" w:hAnsiTheme="majorHAnsi"/>
          <w:sz w:val="24"/>
          <w:szCs w:val="24"/>
        </w:rPr>
      </w:pPr>
      <w:r w:rsidRPr="00B67804">
        <w:rPr>
          <w:rFonts w:asciiTheme="majorHAnsi" w:hAnsiTheme="majorHAnsi"/>
          <w:sz w:val="24"/>
          <w:szCs w:val="24"/>
        </w:rPr>
        <w:t xml:space="preserve">5. Copia del acta de la resolución No 188 de diciembre de 2021 que declaro el incumplimiento del contrato. </w:t>
      </w:r>
    </w:p>
    <w:p w14:paraId="342092D4" w14:textId="77777777" w:rsidR="00B67804" w:rsidRPr="00B67804" w:rsidRDefault="00B67804" w:rsidP="00B67804">
      <w:pPr>
        <w:pStyle w:val="Predeterminado"/>
        <w:jc w:val="both"/>
        <w:rPr>
          <w:rFonts w:asciiTheme="majorHAnsi" w:hAnsiTheme="majorHAnsi"/>
          <w:sz w:val="24"/>
          <w:szCs w:val="24"/>
        </w:rPr>
      </w:pPr>
      <w:r w:rsidRPr="00B67804">
        <w:rPr>
          <w:rFonts w:asciiTheme="majorHAnsi" w:hAnsiTheme="majorHAnsi"/>
          <w:sz w:val="24"/>
          <w:szCs w:val="24"/>
        </w:rPr>
        <w:t xml:space="preserve">6. Copia del acta de la resolución 230 de noviembre de 2022 que resolvió el recurso de reposición interpuesto por el representante legal de la fundación. </w:t>
      </w:r>
    </w:p>
    <w:p w14:paraId="60ADAEEC" w14:textId="77777777" w:rsidR="00B67804" w:rsidRPr="00B67804" w:rsidRDefault="00B67804" w:rsidP="00B67804">
      <w:pPr>
        <w:pStyle w:val="Predeterminado"/>
        <w:jc w:val="both"/>
        <w:rPr>
          <w:rFonts w:asciiTheme="majorHAnsi" w:hAnsiTheme="majorHAnsi"/>
          <w:sz w:val="24"/>
          <w:szCs w:val="24"/>
        </w:rPr>
      </w:pPr>
      <w:r w:rsidRPr="00B67804">
        <w:rPr>
          <w:rFonts w:asciiTheme="majorHAnsi" w:hAnsiTheme="majorHAnsi"/>
          <w:sz w:val="24"/>
          <w:szCs w:val="24"/>
        </w:rPr>
        <w:t xml:space="preserve">7. Constancia de ejecutoria de la Resolución No 230 de noviembre 03 de 2022. </w:t>
      </w:r>
    </w:p>
    <w:p w14:paraId="021C80C2" w14:textId="77777777" w:rsidR="00B67804" w:rsidRPr="00B67804" w:rsidRDefault="00B67804" w:rsidP="00B67804">
      <w:pPr>
        <w:pStyle w:val="Predeterminado"/>
        <w:jc w:val="both"/>
        <w:rPr>
          <w:rFonts w:asciiTheme="majorHAnsi" w:hAnsiTheme="majorHAnsi"/>
          <w:sz w:val="24"/>
          <w:szCs w:val="24"/>
        </w:rPr>
      </w:pPr>
      <w:r w:rsidRPr="00B67804">
        <w:rPr>
          <w:rFonts w:asciiTheme="majorHAnsi" w:hAnsiTheme="majorHAnsi"/>
          <w:sz w:val="24"/>
          <w:szCs w:val="24"/>
        </w:rPr>
        <w:t xml:space="preserve">8. Copia de solicitud de proponentes del municipio de Palmira a interesados en desarrollar la tercera etapa del contrato estando este en plena ejecución. 9. Copia del recurso de reposición interpuesto </w:t>
      </w:r>
      <w:proofErr w:type="spellStart"/>
      <w:r w:rsidRPr="00B67804">
        <w:rPr>
          <w:rFonts w:asciiTheme="majorHAnsi" w:hAnsiTheme="majorHAnsi"/>
          <w:sz w:val="24"/>
          <w:szCs w:val="24"/>
        </w:rPr>
        <w:t>pro</w:t>
      </w:r>
      <w:proofErr w:type="spellEnd"/>
      <w:r w:rsidRPr="00B67804">
        <w:rPr>
          <w:rFonts w:asciiTheme="majorHAnsi" w:hAnsiTheme="majorHAnsi"/>
          <w:sz w:val="24"/>
          <w:szCs w:val="24"/>
        </w:rPr>
        <w:t xml:space="preserve"> el representante de la FUVP contra lo resuelto por la resolución No 188 de 23 de diciembre de 2021. 10. Certificado de existencia y representación legal de la FUVP.</w:t>
      </w:r>
    </w:p>
    <w:p w14:paraId="1A8450F8" w14:textId="77777777" w:rsidR="00B67804" w:rsidRPr="00B67804" w:rsidRDefault="00B67804" w:rsidP="00B67804">
      <w:pPr>
        <w:pStyle w:val="Predeterminado"/>
        <w:jc w:val="both"/>
        <w:rPr>
          <w:rFonts w:asciiTheme="majorHAnsi" w:hAnsiTheme="majorHAnsi" w:cs="Arial"/>
          <w:b/>
          <w:bCs/>
          <w:iCs/>
          <w:sz w:val="24"/>
          <w:szCs w:val="24"/>
        </w:rPr>
      </w:pPr>
    </w:p>
    <w:p w14:paraId="6123004D" w14:textId="77777777" w:rsidR="00B67804" w:rsidRPr="00B67804" w:rsidRDefault="00B67804" w:rsidP="00B67804">
      <w:pPr>
        <w:pStyle w:val="Predeterminado"/>
        <w:jc w:val="right"/>
        <w:rPr>
          <w:rFonts w:asciiTheme="majorHAnsi" w:hAnsiTheme="majorHAnsi" w:cs="Arial"/>
          <w:b/>
          <w:bCs/>
          <w:iCs/>
          <w:sz w:val="24"/>
          <w:szCs w:val="24"/>
        </w:rPr>
      </w:pPr>
      <w:r w:rsidRPr="00B67804">
        <w:rPr>
          <w:rFonts w:asciiTheme="majorHAnsi" w:hAnsiTheme="majorHAnsi" w:cs="Arial"/>
          <w:b/>
          <w:bCs/>
          <w:iCs/>
          <w:sz w:val="24"/>
          <w:szCs w:val="24"/>
        </w:rPr>
        <w:t>ANÁLISIS JURÍDICO – FUNDAMENTOS DE DEFENSA Y ARGUMENTOS DE CONTESTACIÓN:</w:t>
      </w:r>
    </w:p>
    <w:p w14:paraId="16CF8263" w14:textId="77777777" w:rsidR="00B67804" w:rsidRPr="00B67804" w:rsidRDefault="00B67804" w:rsidP="00B67804">
      <w:pPr>
        <w:pStyle w:val="Predeterminado"/>
        <w:jc w:val="both"/>
        <w:rPr>
          <w:rFonts w:asciiTheme="majorHAnsi" w:hAnsiTheme="majorHAnsi" w:cs="Arial"/>
          <w:b/>
          <w:bCs/>
          <w:iCs/>
          <w:sz w:val="24"/>
          <w:szCs w:val="24"/>
        </w:rPr>
      </w:pPr>
    </w:p>
    <w:p w14:paraId="31C9BF78" w14:textId="77777777" w:rsidR="00B67804" w:rsidRPr="00B67804" w:rsidRDefault="00B67804" w:rsidP="00B67804">
      <w:pPr>
        <w:pStyle w:val="Predeterminado"/>
        <w:jc w:val="both"/>
        <w:rPr>
          <w:rFonts w:asciiTheme="majorHAnsi" w:hAnsiTheme="majorHAnsi"/>
          <w:sz w:val="24"/>
          <w:szCs w:val="24"/>
        </w:rPr>
      </w:pPr>
      <w:r w:rsidRPr="00B67804">
        <w:rPr>
          <w:rFonts w:asciiTheme="majorHAnsi" w:hAnsiTheme="majorHAnsi"/>
          <w:sz w:val="24"/>
          <w:szCs w:val="24"/>
        </w:rPr>
        <w:lastRenderedPageBreak/>
        <w:t>El plazo de ejecución del convenio interadministrativo 753 de 2017 fue establecido inicialmente hasta el 2 de abril de 2018, plazo que se prorrogó en el otrosí de 30 de julio de 2019 por sesenta días calendario. No obstante, tras las distintas suspensiones presentadas, la ejecución del convenio interadministrativo fue reiniciada el 16 de diciembre de 2020. De esta manera, el plazo de ejecución se encuentra vencido.</w:t>
      </w:r>
    </w:p>
    <w:p w14:paraId="23C33E94" w14:textId="77777777" w:rsidR="00B67804" w:rsidRPr="00B67804" w:rsidRDefault="00B67804" w:rsidP="00B67804">
      <w:pPr>
        <w:pStyle w:val="Predeterminado"/>
        <w:jc w:val="both"/>
        <w:rPr>
          <w:rFonts w:asciiTheme="majorHAnsi" w:hAnsiTheme="majorHAnsi"/>
          <w:sz w:val="24"/>
          <w:szCs w:val="24"/>
        </w:rPr>
      </w:pPr>
    </w:p>
    <w:p w14:paraId="14448165" w14:textId="77777777" w:rsidR="00B67804" w:rsidRPr="00B67804" w:rsidRDefault="00B67804" w:rsidP="00B67804">
      <w:pPr>
        <w:pStyle w:val="Predeterminado"/>
        <w:jc w:val="both"/>
        <w:rPr>
          <w:rFonts w:asciiTheme="majorHAnsi" w:hAnsiTheme="majorHAnsi"/>
          <w:sz w:val="24"/>
          <w:szCs w:val="24"/>
        </w:rPr>
      </w:pPr>
      <w:r w:rsidRPr="00B67804">
        <w:rPr>
          <w:rFonts w:asciiTheme="majorHAnsi" w:hAnsiTheme="majorHAnsi"/>
          <w:sz w:val="24"/>
          <w:szCs w:val="24"/>
        </w:rPr>
        <w:t>los numerales 1, 4 y 5 del artículo 4 de la Ley 80 de 1993 establecen que las entidades estatales: “Exigirán del contratista la ejecución idónea y oportuna del objeto contratado</w:t>
      </w:r>
    </w:p>
    <w:p w14:paraId="2324BA10" w14:textId="77777777" w:rsidR="00B67804" w:rsidRPr="00B67804" w:rsidRDefault="00B67804" w:rsidP="00B67804">
      <w:pPr>
        <w:pStyle w:val="Predeterminado"/>
        <w:jc w:val="both"/>
        <w:rPr>
          <w:rFonts w:asciiTheme="majorHAnsi" w:hAnsiTheme="majorHAnsi"/>
          <w:sz w:val="24"/>
          <w:szCs w:val="24"/>
        </w:rPr>
      </w:pPr>
    </w:p>
    <w:p w14:paraId="5302BE65" w14:textId="77777777" w:rsidR="00B67804" w:rsidRPr="00B67804" w:rsidRDefault="00B67804" w:rsidP="00B67804">
      <w:pPr>
        <w:pStyle w:val="Predeterminado"/>
        <w:jc w:val="both"/>
        <w:rPr>
          <w:rFonts w:asciiTheme="majorHAnsi" w:hAnsiTheme="majorHAnsi"/>
          <w:sz w:val="24"/>
          <w:szCs w:val="24"/>
        </w:rPr>
      </w:pPr>
      <w:r w:rsidRPr="00B67804">
        <w:rPr>
          <w:rFonts w:asciiTheme="majorHAnsi" w:hAnsiTheme="majorHAnsi"/>
          <w:sz w:val="24"/>
          <w:szCs w:val="24"/>
        </w:rPr>
        <w:t>dentro de los hechos y omisiones que motivaron la citación —contenidos en los informes de supervisión mencionados— se encuentra lo siguiente:</w:t>
      </w:r>
    </w:p>
    <w:p w14:paraId="2B4F0694" w14:textId="77777777" w:rsidR="00B67804" w:rsidRPr="00B67804" w:rsidRDefault="00B67804" w:rsidP="00B67804">
      <w:pPr>
        <w:pStyle w:val="Predeterminado"/>
        <w:jc w:val="both"/>
        <w:rPr>
          <w:rFonts w:asciiTheme="majorHAnsi" w:hAnsiTheme="majorHAnsi"/>
          <w:sz w:val="24"/>
          <w:szCs w:val="24"/>
        </w:rPr>
      </w:pPr>
    </w:p>
    <w:p w14:paraId="11BC2619" w14:textId="77777777" w:rsidR="00B67804" w:rsidRPr="00B67804" w:rsidRDefault="00B67804" w:rsidP="00B67804">
      <w:pPr>
        <w:pStyle w:val="Predeterminado"/>
        <w:numPr>
          <w:ilvl w:val="0"/>
          <w:numId w:val="1"/>
        </w:numPr>
        <w:jc w:val="both"/>
        <w:rPr>
          <w:rFonts w:asciiTheme="majorHAnsi" w:hAnsiTheme="majorHAnsi" w:cs="Arial"/>
          <w:bCs/>
          <w:iCs/>
          <w:sz w:val="24"/>
          <w:szCs w:val="24"/>
        </w:rPr>
      </w:pPr>
      <w:r w:rsidRPr="00B67804">
        <w:rPr>
          <w:rFonts w:asciiTheme="majorHAnsi" w:hAnsiTheme="majorHAnsi"/>
          <w:sz w:val="24"/>
          <w:szCs w:val="24"/>
        </w:rPr>
        <w:t>la revisión de las viviendas atípicas (según la metodología de estratificación urbana diseñada por el DANE) para cada una de las Unidades Espaciales de Estratificación (UEE) —actividades que hacen parte de la tercera etapa de ejecución del contrato—, se realizó con base en la información compartida por el representante legal de la Fundación Universidad del Valle Palmira, en documento enviado a través de correo electrónico, en carpeta de Google Drive, en fecha 13 de mayo de 2021.</w:t>
      </w:r>
    </w:p>
    <w:p w14:paraId="7A0E47BF" w14:textId="77777777" w:rsidR="00B67804" w:rsidRPr="00B67804" w:rsidRDefault="00B67804" w:rsidP="00B67804">
      <w:pPr>
        <w:pStyle w:val="Predeterminado"/>
        <w:numPr>
          <w:ilvl w:val="0"/>
          <w:numId w:val="1"/>
        </w:numPr>
        <w:jc w:val="both"/>
        <w:rPr>
          <w:rFonts w:asciiTheme="majorHAnsi" w:hAnsiTheme="majorHAnsi" w:cs="Arial"/>
          <w:bCs/>
          <w:iCs/>
          <w:sz w:val="24"/>
          <w:szCs w:val="24"/>
        </w:rPr>
      </w:pPr>
      <w:r w:rsidRPr="00B67804">
        <w:rPr>
          <w:rFonts w:asciiTheme="majorHAnsi" w:hAnsiTheme="majorHAnsi"/>
          <w:sz w:val="24"/>
          <w:szCs w:val="24"/>
        </w:rPr>
        <w:t>De acuerdo a esta información, y en aras de verificar si lo realizado cumplía con los criterios técnicos solicitados por el DANE en las comunicaciones 20202430213731 de 2 de septiembre de 2020, y 20202430227881 de 25 de septiembre de 2020, en cuanto a la revisión de viviendas atípicas, se analizaron dos escenarios (A y B), que dan cuenta del porcentaje de cumplimiento de la entrega del producto por parte de la Fundación Universidad del Valle Palmira en esta tercera etapa del estudio de estratificación urbana.</w:t>
      </w:r>
    </w:p>
    <w:p w14:paraId="10E37336" w14:textId="77777777" w:rsidR="00B67804" w:rsidRPr="00B67804" w:rsidRDefault="00B67804" w:rsidP="00B67804">
      <w:pPr>
        <w:pStyle w:val="Predeterminado"/>
        <w:numPr>
          <w:ilvl w:val="0"/>
          <w:numId w:val="1"/>
        </w:numPr>
        <w:jc w:val="both"/>
        <w:rPr>
          <w:rFonts w:asciiTheme="majorHAnsi" w:hAnsiTheme="majorHAnsi" w:cs="Arial"/>
          <w:bCs/>
          <w:iCs/>
          <w:sz w:val="24"/>
          <w:szCs w:val="24"/>
        </w:rPr>
      </w:pPr>
      <w:r w:rsidRPr="00B67804">
        <w:rPr>
          <w:rFonts w:asciiTheme="majorHAnsi" w:hAnsiTheme="majorHAnsi"/>
          <w:sz w:val="24"/>
          <w:szCs w:val="24"/>
        </w:rPr>
        <w:t>Considerando los lineamientos dados en las comunicaciones del DANE antes señaladas (donde esta entidad definió el mecanismo para la revisión de las viviendas atípicas, determinando, entre otras cosas, que en caso de existir inconsistencia en el resultado se debe: 1) identificar el predio por su número predial, 2) tomar un registro fotográfico de dicha vivienda y 3) registrarla en la tabla, escribiendo dentro de la columna “ESTRATO” el número de estrato que subsane la inconsistencia; y así mismo, lo indicado en la Metodología de Estratificación Socioeconómica Urbana para Servicios Públicos Domiciliarios (DANE, 2015) donde señala que, en esta etapa, no es necesario recolectar la información detallada sobre las características de la vivienda, que el trabajo se debe limitar a observar y tomar el registro fotográfico que justifique los ajustes) en el ítem 5, numeral 4, “Conclusiones” del informe de supervisión del 24 de mayo de 2021, se concluye que la Fundación Universidad del Valle Palmira cumple en un 80% de acuerdo con el escenario A planteado.</w:t>
      </w:r>
    </w:p>
    <w:p w14:paraId="00C785CF" w14:textId="77777777" w:rsidR="00B67804" w:rsidRPr="00B67804" w:rsidRDefault="00B67804" w:rsidP="00B67804">
      <w:pPr>
        <w:pStyle w:val="Predeterminado"/>
        <w:numPr>
          <w:ilvl w:val="0"/>
          <w:numId w:val="1"/>
        </w:numPr>
        <w:jc w:val="both"/>
        <w:rPr>
          <w:rFonts w:asciiTheme="majorHAnsi" w:hAnsiTheme="majorHAnsi" w:cs="Arial"/>
          <w:bCs/>
          <w:iCs/>
          <w:sz w:val="24"/>
          <w:szCs w:val="24"/>
        </w:rPr>
      </w:pPr>
      <w:r w:rsidRPr="00B67804">
        <w:rPr>
          <w:rFonts w:asciiTheme="majorHAnsi" w:hAnsiTheme="majorHAnsi"/>
          <w:sz w:val="24"/>
          <w:szCs w:val="24"/>
        </w:rPr>
        <w:t xml:space="preserve">En dicho escenario A se revisa y analiza la reclasificación del estrato de las viviendas atípicas realizada por la Fundación Universidad del Valle, determinando el porcentaje de cumplimiento con base en la entrega del soporte del registro fotográfico de estas, en cada </w:t>
      </w:r>
      <w:r w:rsidRPr="00B67804">
        <w:rPr>
          <w:rFonts w:asciiTheme="majorHAnsi" w:hAnsiTheme="majorHAnsi"/>
          <w:sz w:val="24"/>
          <w:szCs w:val="24"/>
        </w:rPr>
        <w:lastRenderedPageBreak/>
        <w:t>UEE a las que pertenece. En este sentido, la Fundación Universidad del Valle Palmira consideró reclasificar el estrato a 826 de ellas, aportando un total de 704 registros fotográficos, lo que representa un cumplimiento del 80% (promedio simple)</w:t>
      </w:r>
    </w:p>
    <w:p w14:paraId="0165099B" w14:textId="77777777" w:rsidR="00B67804" w:rsidRPr="00B67804" w:rsidRDefault="00B67804" w:rsidP="00B67804">
      <w:pPr>
        <w:pStyle w:val="Predeterminado"/>
        <w:numPr>
          <w:ilvl w:val="0"/>
          <w:numId w:val="1"/>
        </w:numPr>
        <w:jc w:val="both"/>
        <w:rPr>
          <w:rFonts w:asciiTheme="majorHAnsi" w:hAnsiTheme="majorHAnsi" w:cs="Arial"/>
          <w:bCs/>
          <w:iCs/>
          <w:sz w:val="24"/>
          <w:szCs w:val="24"/>
        </w:rPr>
      </w:pPr>
      <w:r w:rsidRPr="00B67804">
        <w:rPr>
          <w:rFonts w:asciiTheme="majorHAnsi" w:hAnsiTheme="majorHAnsi"/>
          <w:sz w:val="24"/>
          <w:szCs w:val="24"/>
        </w:rPr>
        <w:t>cálculos realizados en la tabla que aparece en las páginas 7 y 8, del mencionado informe de supervisión de 24 de junio de 2021.</w:t>
      </w:r>
    </w:p>
    <w:p w14:paraId="1C2E23A7" w14:textId="77777777" w:rsidR="00B67804" w:rsidRPr="00B67804" w:rsidRDefault="00B67804" w:rsidP="00B67804">
      <w:pPr>
        <w:pStyle w:val="Predeterminado"/>
        <w:numPr>
          <w:ilvl w:val="0"/>
          <w:numId w:val="1"/>
        </w:numPr>
        <w:jc w:val="both"/>
        <w:rPr>
          <w:rFonts w:asciiTheme="majorHAnsi" w:hAnsiTheme="majorHAnsi" w:cs="Arial"/>
          <w:bCs/>
          <w:iCs/>
          <w:sz w:val="24"/>
          <w:szCs w:val="24"/>
        </w:rPr>
      </w:pPr>
      <w:r w:rsidRPr="00B67804">
        <w:rPr>
          <w:rFonts w:asciiTheme="majorHAnsi" w:hAnsiTheme="majorHAnsi"/>
          <w:sz w:val="24"/>
          <w:szCs w:val="24"/>
        </w:rPr>
        <w:t>La diferencia del 20% representa el número de viviendas atípicas que fueron reclasificadas en su estrato por la Fundación Universidad del Valle Palmira, según el informe suministrado por esta el 13 de mayo de 2021. Estas no cuentan con el respectivo soporte fotográfico, representadas en 342 viviendas.</w:t>
      </w:r>
    </w:p>
    <w:p w14:paraId="311A8051" w14:textId="77777777" w:rsidR="00B67804" w:rsidRPr="00B67804" w:rsidRDefault="00B67804" w:rsidP="00B67804">
      <w:pPr>
        <w:pStyle w:val="Predeterminado"/>
        <w:jc w:val="both"/>
        <w:rPr>
          <w:rFonts w:asciiTheme="majorHAnsi" w:hAnsiTheme="majorHAnsi"/>
          <w:sz w:val="24"/>
          <w:szCs w:val="24"/>
        </w:rPr>
      </w:pPr>
    </w:p>
    <w:p w14:paraId="60B968EC" w14:textId="77777777" w:rsidR="00B67804" w:rsidRPr="00B67804" w:rsidRDefault="00B67804" w:rsidP="00B67804">
      <w:pPr>
        <w:pStyle w:val="Predeterminado"/>
        <w:jc w:val="both"/>
        <w:rPr>
          <w:rFonts w:asciiTheme="majorHAnsi" w:hAnsiTheme="majorHAnsi"/>
          <w:sz w:val="24"/>
          <w:szCs w:val="24"/>
        </w:rPr>
      </w:pPr>
      <w:r w:rsidRPr="00B67804">
        <w:rPr>
          <w:rFonts w:asciiTheme="majorHAnsi" w:hAnsiTheme="majorHAnsi"/>
          <w:sz w:val="24"/>
          <w:szCs w:val="24"/>
        </w:rPr>
        <w:t xml:space="preserve">Situaciones, que dan lugar a un incumplimiento total de las obligaciones adquiridas, y </w:t>
      </w:r>
      <w:proofErr w:type="gramStart"/>
      <w:r w:rsidRPr="00B67804">
        <w:rPr>
          <w:rFonts w:asciiTheme="majorHAnsi" w:hAnsiTheme="majorHAnsi"/>
          <w:sz w:val="24"/>
          <w:szCs w:val="24"/>
        </w:rPr>
        <w:t>que</w:t>
      </w:r>
      <w:proofErr w:type="gramEnd"/>
      <w:r w:rsidRPr="00B67804">
        <w:rPr>
          <w:rFonts w:asciiTheme="majorHAnsi" w:hAnsiTheme="majorHAnsi"/>
          <w:sz w:val="24"/>
          <w:szCs w:val="24"/>
        </w:rPr>
        <w:t xml:space="preserve"> en el marco del proceso sancionatorio administrativo, no fueron desvirtuados. </w:t>
      </w:r>
    </w:p>
    <w:p w14:paraId="43FAFE7D" w14:textId="77777777" w:rsidR="00B67804" w:rsidRPr="00B67804" w:rsidRDefault="00B67804" w:rsidP="00B67804">
      <w:pPr>
        <w:pStyle w:val="Predeterminado"/>
        <w:jc w:val="center"/>
        <w:rPr>
          <w:rFonts w:asciiTheme="majorHAnsi" w:hAnsiTheme="majorHAnsi" w:cs="Arial"/>
          <w:b/>
          <w:bCs/>
          <w:iCs/>
          <w:sz w:val="24"/>
          <w:szCs w:val="24"/>
        </w:rPr>
      </w:pPr>
    </w:p>
    <w:p w14:paraId="0F01CDFD" w14:textId="77777777" w:rsidR="00B67804" w:rsidRPr="00B67804" w:rsidRDefault="00B67804" w:rsidP="00B67804">
      <w:pPr>
        <w:pStyle w:val="Predeterminado"/>
        <w:jc w:val="center"/>
        <w:rPr>
          <w:rFonts w:asciiTheme="majorHAnsi" w:hAnsiTheme="majorHAnsi" w:cs="Arial"/>
          <w:b/>
          <w:bCs/>
          <w:iCs/>
          <w:sz w:val="24"/>
          <w:szCs w:val="24"/>
        </w:rPr>
      </w:pPr>
      <w:r w:rsidRPr="00B67804">
        <w:rPr>
          <w:rFonts w:asciiTheme="majorHAnsi" w:hAnsiTheme="majorHAnsi" w:cs="Arial"/>
          <w:b/>
          <w:bCs/>
          <w:iCs/>
          <w:sz w:val="24"/>
          <w:szCs w:val="24"/>
        </w:rPr>
        <w:t>LLAMAMIENTO EN GARANTÍA:</w:t>
      </w:r>
    </w:p>
    <w:p w14:paraId="53482ED0" w14:textId="77777777" w:rsidR="00B67804" w:rsidRPr="00B67804" w:rsidRDefault="00B67804" w:rsidP="00B67804">
      <w:pPr>
        <w:pStyle w:val="Predeterminado"/>
        <w:jc w:val="both"/>
        <w:rPr>
          <w:rFonts w:asciiTheme="majorHAnsi" w:hAnsiTheme="majorHAnsi" w:cs="Arial"/>
          <w:b/>
          <w:bCs/>
          <w:iCs/>
          <w:sz w:val="24"/>
          <w:szCs w:val="24"/>
        </w:rPr>
      </w:pPr>
    </w:p>
    <w:p w14:paraId="1338BB7B" w14:textId="77777777" w:rsidR="00B67804" w:rsidRPr="00B67804" w:rsidRDefault="00B67804" w:rsidP="00B67804">
      <w:pPr>
        <w:pStyle w:val="Predeterminado"/>
        <w:jc w:val="both"/>
        <w:rPr>
          <w:rFonts w:asciiTheme="majorHAnsi" w:hAnsiTheme="majorHAnsi" w:cs="Arial"/>
          <w:bCs/>
          <w:iCs/>
          <w:sz w:val="24"/>
          <w:szCs w:val="24"/>
        </w:rPr>
      </w:pPr>
      <w:r w:rsidRPr="00B67804">
        <w:rPr>
          <w:rFonts w:asciiTheme="majorHAnsi" w:hAnsiTheme="majorHAnsi" w:cs="Arial"/>
          <w:bCs/>
          <w:iCs/>
          <w:sz w:val="24"/>
          <w:szCs w:val="24"/>
        </w:rPr>
        <w:t>No se observa por parte de los servidores públicos, que emitieran los actos administrativos, los elementos subjetivos de la acción de repetición, indicando además, que el resultado final de la actuación, deriva de un procedimiento administrativo reglado, del cual no se generó ningún tipo de observación, por lo que no podríamos hablar en el presente caso, de situaciones relacionadas con la culpa o el dolo, desvirtuando así, la posible ocurrencia de conductas meritorias, que den lugar a realizar el llamamiento propuesto por la Ley 1437 de 2011, para estos casos.</w:t>
      </w:r>
    </w:p>
    <w:p w14:paraId="027D0FF7" w14:textId="77777777" w:rsidR="00B67804" w:rsidRPr="00B67804" w:rsidRDefault="00B67804" w:rsidP="00B67804">
      <w:pPr>
        <w:pStyle w:val="Predeterminado"/>
        <w:jc w:val="both"/>
        <w:rPr>
          <w:rFonts w:asciiTheme="majorHAnsi" w:hAnsiTheme="majorHAnsi" w:cs="Arial"/>
          <w:b/>
          <w:bCs/>
          <w:iCs/>
          <w:sz w:val="24"/>
          <w:szCs w:val="24"/>
        </w:rPr>
      </w:pPr>
    </w:p>
    <w:p w14:paraId="12DA25A3" w14:textId="77777777" w:rsidR="00B67804" w:rsidRPr="00B67804" w:rsidRDefault="00B67804" w:rsidP="00B67804">
      <w:pPr>
        <w:pStyle w:val="Predeterminado"/>
        <w:jc w:val="both"/>
        <w:rPr>
          <w:rFonts w:asciiTheme="majorHAnsi" w:hAnsiTheme="majorHAnsi" w:cs="Arial"/>
          <w:b/>
          <w:bCs/>
          <w:iCs/>
          <w:sz w:val="24"/>
          <w:szCs w:val="24"/>
        </w:rPr>
      </w:pPr>
    </w:p>
    <w:p w14:paraId="55E2ACD1" w14:textId="77777777" w:rsidR="00B67804" w:rsidRPr="00B67804" w:rsidRDefault="00B67804" w:rsidP="00B67804">
      <w:pPr>
        <w:pStyle w:val="Predeterminado"/>
        <w:jc w:val="center"/>
        <w:rPr>
          <w:rFonts w:asciiTheme="majorHAnsi" w:hAnsiTheme="majorHAnsi" w:cs="Arial"/>
          <w:b/>
          <w:bCs/>
          <w:iCs/>
          <w:sz w:val="24"/>
          <w:szCs w:val="24"/>
        </w:rPr>
      </w:pPr>
      <w:r w:rsidRPr="00B67804">
        <w:rPr>
          <w:rFonts w:asciiTheme="majorHAnsi" w:hAnsiTheme="majorHAnsi" w:cs="Arial"/>
          <w:b/>
          <w:bCs/>
          <w:iCs/>
          <w:sz w:val="24"/>
          <w:szCs w:val="24"/>
        </w:rPr>
        <w:t>RECOMENDACIONES Y CONCLUSIONES:</w:t>
      </w:r>
    </w:p>
    <w:p w14:paraId="740CAD28" w14:textId="77777777" w:rsidR="00B67804" w:rsidRPr="00B67804" w:rsidRDefault="00B67804" w:rsidP="00B67804">
      <w:pPr>
        <w:pStyle w:val="Predeterminado"/>
        <w:jc w:val="both"/>
        <w:rPr>
          <w:rFonts w:asciiTheme="majorHAnsi" w:hAnsiTheme="majorHAnsi" w:cs="Arial"/>
          <w:b/>
          <w:bCs/>
          <w:iCs/>
          <w:sz w:val="24"/>
          <w:szCs w:val="24"/>
        </w:rPr>
      </w:pPr>
    </w:p>
    <w:p w14:paraId="255BD291" w14:textId="77777777" w:rsidR="00B67804" w:rsidRPr="00B67804" w:rsidRDefault="00B67804" w:rsidP="00B67804">
      <w:pPr>
        <w:pStyle w:val="Predeterminado"/>
        <w:jc w:val="both"/>
        <w:rPr>
          <w:rFonts w:asciiTheme="majorHAnsi" w:hAnsiTheme="majorHAnsi" w:cs="Arial"/>
          <w:bCs/>
          <w:iCs/>
          <w:sz w:val="24"/>
          <w:szCs w:val="24"/>
        </w:rPr>
      </w:pPr>
      <w:r w:rsidRPr="00B67804">
        <w:rPr>
          <w:rFonts w:asciiTheme="majorHAnsi" w:hAnsiTheme="majorHAnsi" w:cs="Arial"/>
          <w:bCs/>
          <w:iCs/>
          <w:sz w:val="24"/>
          <w:szCs w:val="24"/>
        </w:rPr>
        <w:t xml:space="preserve">Se Recomienda, salvo mejor criterio, no acceder a las pretensiones, y por tanto NO presentar formula conciliatoria. </w:t>
      </w:r>
    </w:p>
    <w:p w14:paraId="6185F0C4" w14:textId="77777777" w:rsidR="00B67804" w:rsidRPr="00B67804" w:rsidRDefault="00B67804" w:rsidP="00B67804">
      <w:pPr>
        <w:pStyle w:val="Predeterminado"/>
        <w:jc w:val="both"/>
        <w:rPr>
          <w:rFonts w:asciiTheme="majorHAnsi" w:hAnsiTheme="majorHAnsi" w:cs="Arial"/>
          <w:bCs/>
          <w:iCs/>
          <w:sz w:val="24"/>
          <w:szCs w:val="24"/>
        </w:rPr>
      </w:pPr>
    </w:p>
    <w:p w14:paraId="6A72880F" w14:textId="77BBFE10" w:rsidR="00B67804" w:rsidRPr="00B67804" w:rsidRDefault="00B67804" w:rsidP="00B67804">
      <w:pPr>
        <w:pStyle w:val="Predeterminado"/>
        <w:jc w:val="both"/>
        <w:rPr>
          <w:rFonts w:asciiTheme="majorHAnsi" w:hAnsiTheme="majorHAnsi" w:cs="Arial"/>
          <w:bCs/>
          <w:iCs/>
          <w:sz w:val="24"/>
          <w:szCs w:val="24"/>
        </w:rPr>
      </w:pPr>
      <w:r w:rsidRPr="00B67804">
        <w:rPr>
          <w:rFonts w:asciiTheme="majorHAnsi" w:hAnsiTheme="majorHAnsi" w:cs="Arial"/>
          <w:b/>
          <w:noProof/>
          <w:lang w:val="es-CO"/>
        </w:rPr>
        <w:drawing>
          <wp:anchor distT="0" distB="0" distL="114300" distR="114300" simplePos="0" relativeHeight="251659264" behindDoc="1" locked="0" layoutInCell="1" allowOverlap="1" wp14:anchorId="2B65B54F" wp14:editId="26492297">
            <wp:simplePos x="0" y="0"/>
            <wp:positionH relativeFrom="column">
              <wp:posOffset>-493395</wp:posOffset>
            </wp:positionH>
            <wp:positionV relativeFrom="paragraph">
              <wp:posOffset>170815</wp:posOffset>
            </wp:positionV>
            <wp:extent cx="4406900" cy="212090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06900" cy="2120900"/>
                    </a:xfrm>
                    <a:prstGeom prst="rect">
                      <a:avLst/>
                    </a:prstGeom>
                    <a:noFill/>
                    <a:ln>
                      <a:noFill/>
                    </a:ln>
                  </pic:spPr>
                </pic:pic>
              </a:graphicData>
            </a:graphic>
          </wp:anchor>
        </w:drawing>
      </w:r>
    </w:p>
    <w:p w14:paraId="46DAA720" w14:textId="25A83542" w:rsidR="00B67804" w:rsidRPr="00B67804" w:rsidRDefault="00B67804" w:rsidP="00B67804">
      <w:pPr>
        <w:pStyle w:val="Predeterminado"/>
        <w:jc w:val="both"/>
        <w:rPr>
          <w:rFonts w:asciiTheme="majorHAnsi" w:hAnsiTheme="majorHAnsi" w:cs="Arial"/>
          <w:bCs/>
          <w:iCs/>
          <w:sz w:val="24"/>
          <w:szCs w:val="24"/>
        </w:rPr>
      </w:pPr>
    </w:p>
    <w:p w14:paraId="4D4A643F" w14:textId="73919C6A" w:rsidR="00B67804" w:rsidRPr="00B67804" w:rsidRDefault="00B67804" w:rsidP="00B67804">
      <w:pPr>
        <w:pStyle w:val="Predeterminado"/>
        <w:jc w:val="both"/>
        <w:rPr>
          <w:rFonts w:asciiTheme="majorHAnsi" w:hAnsiTheme="majorHAnsi" w:cs="Arial"/>
          <w:bCs/>
          <w:iCs/>
          <w:sz w:val="24"/>
          <w:szCs w:val="24"/>
        </w:rPr>
      </w:pPr>
    </w:p>
    <w:p w14:paraId="39F494C3" w14:textId="6D91BDAE" w:rsidR="00B67804" w:rsidRPr="00B67804" w:rsidRDefault="00B67804" w:rsidP="00B67804">
      <w:pPr>
        <w:pStyle w:val="Predeterminado"/>
        <w:jc w:val="both"/>
        <w:rPr>
          <w:rFonts w:asciiTheme="majorHAnsi" w:hAnsiTheme="majorHAnsi" w:cs="Arial"/>
          <w:bCs/>
          <w:iCs/>
          <w:sz w:val="24"/>
          <w:szCs w:val="24"/>
        </w:rPr>
      </w:pPr>
    </w:p>
    <w:p w14:paraId="76FBC871" w14:textId="77777777" w:rsidR="00B67804" w:rsidRPr="00B67804" w:rsidRDefault="00B67804" w:rsidP="00B67804">
      <w:pPr>
        <w:pStyle w:val="Predeterminado"/>
        <w:jc w:val="both"/>
        <w:rPr>
          <w:rFonts w:asciiTheme="majorHAnsi" w:hAnsiTheme="majorHAnsi" w:cs="Arial"/>
          <w:bCs/>
          <w:iCs/>
          <w:sz w:val="24"/>
          <w:szCs w:val="24"/>
        </w:rPr>
      </w:pPr>
    </w:p>
    <w:p w14:paraId="34457B75" w14:textId="2078DF30" w:rsidR="00B67804" w:rsidRPr="00B67804" w:rsidRDefault="00B67804" w:rsidP="00B67804">
      <w:pPr>
        <w:autoSpaceDE w:val="0"/>
        <w:autoSpaceDN w:val="0"/>
        <w:rPr>
          <w:rFonts w:asciiTheme="majorHAnsi" w:hAnsiTheme="majorHAnsi" w:cs="Arial"/>
          <w:b/>
        </w:rPr>
      </w:pPr>
    </w:p>
    <w:p w14:paraId="689DFA43" w14:textId="35611076" w:rsidR="00B67804" w:rsidRPr="00B67804" w:rsidRDefault="00B67804" w:rsidP="00B67804">
      <w:pPr>
        <w:autoSpaceDE w:val="0"/>
        <w:autoSpaceDN w:val="0"/>
        <w:rPr>
          <w:rFonts w:asciiTheme="majorHAnsi" w:hAnsiTheme="majorHAnsi" w:cs="Arial"/>
          <w:b/>
        </w:rPr>
      </w:pPr>
    </w:p>
    <w:p w14:paraId="0F96D67A" w14:textId="1C6C4CF7" w:rsidR="00B67804" w:rsidRPr="00B67804" w:rsidRDefault="00B67804" w:rsidP="00B67804">
      <w:pPr>
        <w:autoSpaceDE w:val="0"/>
        <w:autoSpaceDN w:val="0"/>
        <w:rPr>
          <w:rFonts w:asciiTheme="majorHAnsi" w:hAnsiTheme="majorHAnsi" w:cs="Arial"/>
          <w:b/>
        </w:rPr>
      </w:pPr>
    </w:p>
    <w:p w14:paraId="28AEBCA5" w14:textId="77777777" w:rsidR="00B67804" w:rsidRPr="00B67804" w:rsidRDefault="00B67804" w:rsidP="00B67804">
      <w:pPr>
        <w:autoSpaceDE w:val="0"/>
        <w:autoSpaceDN w:val="0"/>
        <w:rPr>
          <w:rFonts w:asciiTheme="majorHAnsi" w:hAnsiTheme="majorHAnsi" w:cs="Arial"/>
          <w:b/>
        </w:rPr>
      </w:pPr>
    </w:p>
    <w:p w14:paraId="5287D3DE" w14:textId="728E8E29" w:rsidR="00B67804" w:rsidRPr="00B67804" w:rsidRDefault="00B67804" w:rsidP="00B67804">
      <w:pPr>
        <w:autoSpaceDE w:val="0"/>
        <w:autoSpaceDN w:val="0"/>
        <w:rPr>
          <w:rFonts w:asciiTheme="majorHAnsi" w:hAnsiTheme="majorHAnsi" w:cs="Arial"/>
          <w:b/>
        </w:rPr>
      </w:pPr>
      <w:r w:rsidRPr="00B67804">
        <w:rPr>
          <w:rFonts w:asciiTheme="majorHAnsi" w:hAnsiTheme="majorHAnsi" w:cs="Arial"/>
          <w:b/>
        </w:rPr>
        <w:t>CARLOS ALBERTO ARIAS CONTRERAS</w:t>
      </w:r>
    </w:p>
    <w:p w14:paraId="3FD7C1E4" w14:textId="79756BE1" w:rsidR="00B67804" w:rsidRPr="00B67804" w:rsidRDefault="00B67804" w:rsidP="00B67804">
      <w:pPr>
        <w:autoSpaceDE w:val="0"/>
        <w:autoSpaceDN w:val="0"/>
        <w:rPr>
          <w:rFonts w:asciiTheme="majorHAnsi" w:hAnsiTheme="majorHAnsi" w:cs="Arial"/>
        </w:rPr>
      </w:pPr>
      <w:r w:rsidRPr="00B67804">
        <w:rPr>
          <w:rFonts w:asciiTheme="majorHAnsi" w:hAnsiTheme="majorHAnsi" w:cs="Arial"/>
        </w:rPr>
        <w:t>C.C. 1.113.628.722 de Palmira-Valle</w:t>
      </w:r>
    </w:p>
    <w:p w14:paraId="5336244A" w14:textId="77777777" w:rsidR="00B67804" w:rsidRPr="00B67804" w:rsidRDefault="00B67804" w:rsidP="00B67804">
      <w:pPr>
        <w:autoSpaceDE w:val="0"/>
        <w:autoSpaceDN w:val="0"/>
        <w:rPr>
          <w:rFonts w:asciiTheme="majorHAnsi" w:hAnsiTheme="majorHAnsi" w:cs="Arial"/>
        </w:rPr>
      </w:pPr>
      <w:r w:rsidRPr="00B67804">
        <w:rPr>
          <w:rFonts w:asciiTheme="majorHAnsi" w:hAnsiTheme="majorHAnsi" w:cs="Arial"/>
        </w:rPr>
        <w:t xml:space="preserve">T.P. 193402 del C.S. de la J. </w:t>
      </w:r>
    </w:p>
    <w:p w14:paraId="5F1B0A44" w14:textId="6D37260F" w:rsidR="00B67804" w:rsidRPr="00B67804" w:rsidRDefault="00B67804" w:rsidP="00B67804">
      <w:pPr>
        <w:autoSpaceDE w:val="0"/>
        <w:autoSpaceDN w:val="0"/>
        <w:rPr>
          <w:rFonts w:asciiTheme="majorHAnsi" w:hAnsiTheme="majorHAnsi" w:cs="Arial"/>
        </w:rPr>
      </w:pPr>
    </w:p>
    <w:p w14:paraId="440BA1A2" w14:textId="77777777" w:rsidR="00B67804" w:rsidRPr="00B67804" w:rsidRDefault="00B67804" w:rsidP="00B67804">
      <w:pPr>
        <w:rPr>
          <w:rFonts w:asciiTheme="majorHAnsi" w:eastAsia="Arial Narrow" w:hAnsiTheme="majorHAnsi" w:cs="Arial Narrow"/>
          <w:sz w:val="20"/>
          <w:szCs w:val="20"/>
        </w:rPr>
      </w:pPr>
    </w:p>
    <w:sectPr w:rsidR="00B67804" w:rsidRPr="00B67804" w:rsidSect="00AF47EB">
      <w:headerReference w:type="default" r:id="rId9"/>
      <w:footerReference w:type="default" r:id="rId10"/>
      <w:pgSz w:w="12240" w:h="15840"/>
      <w:pgMar w:top="1417" w:right="1701" w:bottom="1417" w:left="992" w:header="283" w:footer="283"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04BEE" w14:textId="77777777" w:rsidR="004242FB" w:rsidRDefault="004242FB">
      <w:r>
        <w:separator/>
      </w:r>
    </w:p>
  </w:endnote>
  <w:endnote w:type="continuationSeparator" w:id="0">
    <w:p w14:paraId="67C4A8D0" w14:textId="77777777" w:rsidR="004242FB" w:rsidRDefault="00424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361722"/>
      <w:docPartObj>
        <w:docPartGallery w:val="Page Numbers (Bottom of Page)"/>
        <w:docPartUnique/>
      </w:docPartObj>
    </w:sdtPr>
    <w:sdtContent>
      <w:p w14:paraId="78A5A829" w14:textId="50D1C154" w:rsidR="002B4CC0" w:rsidRDefault="002B4CC0">
        <w:pPr>
          <w:pStyle w:val="Piedepgina"/>
          <w:jc w:val="right"/>
        </w:pPr>
        <w:r>
          <w:fldChar w:fldCharType="begin"/>
        </w:r>
        <w:r>
          <w:instrText>PAGE   \* MERGEFORMAT</w:instrText>
        </w:r>
        <w:r>
          <w:fldChar w:fldCharType="separate"/>
        </w:r>
        <w:r>
          <w:rPr>
            <w:lang w:val="es-ES"/>
          </w:rPr>
          <w:t>2</w:t>
        </w:r>
        <w:r>
          <w:fldChar w:fldCharType="end"/>
        </w:r>
      </w:p>
    </w:sdtContent>
  </w:sdt>
  <w:p w14:paraId="32BCB4D5" w14:textId="77777777" w:rsidR="00AF47EB" w:rsidRPr="00240826" w:rsidRDefault="00AF47EB" w:rsidP="00AF47EB">
    <w:pPr>
      <w:pStyle w:val="Sinespaciado"/>
      <w:jc w:val="center"/>
      <w:rPr>
        <w:rFonts w:asciiTheme="majorHAnsi" w:eastAsia="Arial Narrow" w:hAnsiTheme="majorHAnsi" w:cs="Arial Narrow"/>
        <w:color w:val="000000"/>
        <w:sz w:val="20"/>
        <w:szCs w:val="20"/>
      </w:rPr>
    </w:pPr>
    <w:r w:rsidRPr="00240826">
      <w:rPr>
        <w:rFonts w:asciiTheme="majorHAnsi" w:eastAsia="Arial Narrow" w:hAnsiTheme="majorHAnsi" w:cs="Arial Narrow"/>
        <w:color w:val="000000"/>
        <w:sz w:val="20"/>
        <w:szCs w:val="20"/>
      </w:rPr>
      <w:t xml:space="preserve">Dirección: Calle 27 # 35-00 Ciudadela Deportiva </w:t>
    </w:r>
  </w:p>
  <w:p w14:paraId="25D5AE9D" w14:textId="63A7ADA0" w:rsidR="00AF47EB" w:rsidRPr="00240826" w:rsidRDefault="00AF47EB" w:rsidP="00AF47EB">
    <w:pPr>
      <w:pStyle w:val="Sinespaciado"/>
      <w:jc w:val="center"/>
      <w:rPr>
        <w:rFonts w:asciiTheme="majorHAnsi" w:eastAsia="Arial Narrow" w:hAnsiTheme="majorHAnsi" w:cs="Arial Narrow"/>
        <w:color w:val="000000"/>
        <w:sz w:val="20"/>
        <w:szCs w:val="20"/>
      </w:rPr>
    </w:pPr>
    <w:r w:rsidRPr="00240826">
      <w:rPr>
        <w:rFonts w:asciiTheme="majorHAnsi" w:eastAsia="Arial Narrow" w:hAnsiTheme="majorHAnsi" w:cs="Arial Narrow"/>
        <w:color w:val="000000"/>
        <w:sz w:val="20"/>
        <w:szCs w:val="20"/>
      </w:rPr>
      <w:t>Teléfono: 2864003</w:t>
    </w:r>
  </w:p>
  <w:p w14:paraId="119887E4" w14:textId="476B89ED" w:rsidR="00AF47EB" w:rsidRPr="00240826" w:rsidRDefault="00AF47EB" w:rsidP="00AF47EB">
    <w:pPr>
      <w:pStyle w:val="Sinespaciado"/>
      <w:jc w:val="center"/>
      <w:rPr>
        <w:rFonts w:asciiTheme="majorHAnsi" w:eastAsia="Arial Narrow" w:hAnsiTheme="majorHAnsi" w:cs="Arial Narrow"/>
        <w:color w:val="000000"/>
        <w:sz w:val="20"/>
        <w:szCs w:val="20"/>
      </w:rPr>
    </w:pPr>
    <w:r w:rsidRPr="00240826">
      <w:rPr>
        <w:rFonts w:asciiTheme="majorHAnsi" w:eastAsia="Arial Narrow" w:hAnsiTheme="majorHAnsi" w:cs="Arial Narrow"/>
        <w:color w:val="000000"/>
        <w:sz w:val="20"/>
        <w:szCs w:val="20"/>
      </w:rPr>
      <w:t xml:space="preserve">Email: Imderpal@gmail.com </w:t>
    </w:r>
  </w:p>
  <w:p w14:paraId="23A1FAEA" w14:textId="77777777" w:rsidR="00AF47EB" w:rsidRPr="00240826" w:rsidRDefault="00AF47EB" w:rsidP="00AF47EB">
    <w:pPr>
      <w:pStyle w:val="Sinespaciado"/>
      <w:jc w:val="center"/>
      <w:rPr>
        <w:rFonts w:asciiTheme="majorHAnsi" w:eastAsia="Arial Narrow" w:hAnsiTheme="majorHAnsi" w:cs="Arial Narrow"/>
        <w:color w:val="000000"/>
        <w:sz w:val="20"/>
        <w:szCs w:val="20"/>
      </w:rPr>
    </w:pPr>
    <w:r w:rsidRPr="00240826">
      <w:rPr>
        <w:rFonts w:asciiTheme="majorHAnsi" w:eastAsia="Arial Narrow" w:hAnsiTheme="majorHAnsi" w:cs="Arial Narrow"/>
        <w:color w:val="000000"/>
        <w:sz w:val="20"/>
        <w:szCs w:val="20"/>
      </w:rPr>
      <w:t>Página Web: www.imderpalmira.gov.co</w:t>
    </w:r>
  </w:p>
  <w:p w14:paraId="02022A91" w14:textId="1879A53C" w:rsidR="002B4CC0" w:rsidRPr="00240826" w:rsidRDefault="00AF47EB" w:rsidP="00AF47EB">
    <w:pPr>
      <w:jc w:val="center"/>
      <w:rPr>
        <w:rFonts w:asciiTheme="majorHAnsi" w:hAnsiTheme="majorHAnsi" w:cs="Arial"/>
        <w:sz w:val="20"/>
        <w:szCs w:val="20"/>
        <w:vertAlign w:val="subscript"/>
      </w:rPr>
    </w:pPr>
    <w:r w:rsidRPr="00240826">
      <w:rPr>
        <w:rFonts w:asciiTheme="majorHAnsi" w:eastAsia="Arial Narrow" w:hAnsiTheme="majorHAnsi" w:cs="Arial Narrow"/>
        <w:color w:val="000000"/>
        <w:sz w:val="20"/>
        <w:szCs w:val="20"/>
      </w:rPr>
      <w:t>Código Postal 763533/ Palmira – Valle del Cauca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0542E" w14:textId="77777777" w:rsidR="004242FB" w:rsidRDefault="004242FB">
      <w:r>
        <w:separator/>
      </w:r>
    </w:p>
  </w:footnote>
  <w:footnote w:type="continuationSeparator" w:id="0">
    <w:p w14:paraId="290EDB4F" w14:textId="77777777" w:rsidR="004242FB" w:rsidRDefault="004242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CA3FD" w14:textId="77777777" w:rsidR="00075FEA" w:rsidRDefault="00075FEA">
    <w:pPr>
      <w:widowControl w:val="0"/>
      <w:pBdr>
        <w:top w:val="nil"/>
        <w:left w:val="nil"/>
        <w:bottom w:val="nil"/>
        <w:right w:val="nil"/>
        <w:between w:val="nil"/>
      </w:pBdr>
      <w:spacing w:line="276" w:lineRule="auto"/>
      <w:rPr>
        <w:rFonts w:ascii="Arial Narrow" w:eastAsia="Arial Narrow" w:hAnsi="Arial Narrow" w:cs="Arial Narrow"/>
        <w:sz w:val="22"/>
        <w:szCs w:val="22"/>
      </w:rPr>
    </w:pPr>
  </w:p>
  <w:tbl>
    <w:tblPr>
      <w:tblStyle w:val="a"/>
      <w:tblW w:w="978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1"/>
      <w:gridCol w:w="3969"/>
      <w:gridCol w:w="2565"/>
      <w:gridCol w:w="1546"/>
    </w:tblGrid>
    <w:tr w:rsidR="00E91ACF" w:rsidRPr="00240826" w14:paraId="080B3D49" w14:textId="08DE7C59" w:rsidTr="00E91ACF">
      <w:trPr>
        <w:trHeight w:val="274"/>
      </w:trPr>
      <w:tc>
        <w:tcPr>
          <w:tcW w:w="1701" w:type="dxa"/>
          <w:vMerge w:val="restart"/>
          <w:vAlign w:val="center"/>
        </w:tcPr>
        <w:p w14:paraId="794BECBC" w14:textId="229BBE80" w:rsidR="00E91ACF" w:rsidRPr="00240826" w:rsidRDefault="00E91ACF" w:rsidP="00E91ACF">
          <w:pPr>
            <w:pBdr>
              <w:top w:val="nil"/>
              <w:left w:val="nil"/>
              <w:bottom w:val="nil"/>
              <w:right w:val="nil"/>
              <w:between w:val="nil"/>
            </w:pBdr>
            <w:tabs>
              <w:tab w:val="center" w:pos="4419"/>
              <w:tab w:val="right" w:pos="8838"/>
            </w:tabs>
            <w:jc w:val="center"/>
            <w:rPr>
              <w:rFonts w:asciiTheme="majorHAnsi" w:eastAsia="Calibri" w:hAnsiTheme="majorHAnsi" w:cs="Calibri"/>
              <w:b/>
              <w:color w:val="000000"/>
            </w:rPr>
          </w:pPr>
          <w:r w:rsidRPr="00240826">
            <w:rPr>
              <w:rFonts w:asciiTheme="majorHAnsi" w:hAnsiTheme="majorHAnsi"/>
              <w:noProof/>
            </w:rPr>
            <w:drawing>
              <wp:inline distT="0" distB="0" distL="0" distR="0" wp14:anchorId="4BE80473" wp14:editId="1EFF825A">
                <wp:extent cx="901178" cy="582804"/>
                <wp:effectExtent l="0" t="0" r="0" b="8255"/>
                <wp:docPr id="98827975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669" cy="585709"/>
                        </a:xfrm>
                        <a:prstGeom prst="rect">
                          <a:avLst/>
                        </a:prstGeom>
                        <a:noFill/>
                        <a:ln>
                          <a:noFill/>
                        </a:ln>
                      </pic:spPr>
                    </pic:pic>
                  </a:graphicData>
                </a:graphic>
              </wp:inline>
            </w:drawing>
          </w:r>
        </w:p>
        <w:p w14:paraId="70C5E19A" w14:textId="2EA17B46" w:rsidR="00E91ACF" w:rsidRPr="00240826" w:rsidRDefault="002B4CC0" w:rsidP="002B4CC0">
          <w:pPr>
            <w:pBdr>
              <w:top w:val="nil"/>
              <w:left w:val="nil"/>
              <w:bottom w:val="nil"/>
              <w:right w:val="nil"/>
              <w:between w:val="nil"/>
            </w:pBdr>
            <w:tabs>
              <w:tab w:val="center" w:pos="4419"/>
              <w:tab w:val="right" w:pos="8838"/>
            </w:tabs>
            <w:jc w:val="center"/>
            <w:rPr>
              <w:rFonts w:asciiTheme="majorHAnsi" w:eastAsia="Calibri" w:hAnsiTheme="majorHAnsi" w:cs="Calibri"/>
              <w:b/>
              <w:color w:val="000000"/>
            </w:rPr>
          </w:pPr>
          <w:r w:rsidRPr="00240826">
            <w:rPr>
              <w:rFonts w:asciiTheme="majorHAnsi" w:eastAsia="Calibri" w:hAnsiTheme="majorHAnsi" w:cs="Calibri"/>
              <w:b/>
              <w:color w:val="000000"/>
            </w:rPr>
            <w:t>NIT:8</w:t>
          </w:r>
          <w:r w:rsidR="005E4D38" w:rsidRPr="00240826">
            <w:rPr>
              <w:rFonts w:asciiTheme="majorHAnsi" w:eastAsia="Calibri" w:hAnsiTheme="majorHAnsi" w:cs="Calibri"/>
              <w:b/>
              <w:color w:val="000000"/>
            </w:rPr>
            <w:t>15</w:t>
          </w:r>
          <w:r w:rsidRPr="00240826">
            <w:rPr>
              <w:rFonts w:asciiTheme="majorHAnsi" w:eastAsia="Calibri" w:hAnsiTheme="majorHAnsi" w:cs="Calibri"/>
              <w:b/>
              <w:color w:val="000000"/>
            </w:rPr>
            <w:t>000340-6</w:t>
          </w:r>
        </w:p>
      </w:tc>
      <w:tc>
        <w:tcPr>
          <w:tcW w:w="3969" w:type="dxa"/>
          <w:vMerge w:val="restart"/>
          <w:vAlign w:val="center"/>
        </w:tcPr>
        <w:p w14:paraId="726CD424" w14:textId="77777777" w:rsidR="00E91ACF" w:rsidRPr="00240826" w:rsidRDefault="00E91ACF">
          <w:pPr>
            <w:pBdr>
              <w:top w:val="nil"/>
              <w:left w:val="nil"/>
              <w:bottom w:val="nil"/>
              <w:right w:val="nil"/>
              <w:between w:val="nil"/>
            </w:pBdr>
            <w:tabs>
              <w:tab w:val="center" w:pos="4419"/>
              <w:tab w:val="right" w:pos="8838"/>
            </w:tabs>
            <w:jc w:val="center"/>
            <w:rPr>
              <w:rFonts w:asciiTheme="majorHAnsi" w:eastAsia="Arial Narrow" w:hAnsiTheme="majorHAnsi" w:cs="Arial Narrow"/>
              <w:color w:val="000000"/>
            </w:rPr>
          </w:pPr>
          <w:r w:rsidRPr="00240826">
            <w:rPr>
              <w:rFonts w:asciiTheme="majorHAnsi" w:eastAsia="Arial Narrow" w:hAnsiTheme="majorHAnsi" w:cs="Arial Narrow"/>
              <w:color w:val="000000"/>
            </w:rPr>
            <w:t>MODELO INTEGRADO DE PLANEACI</w:t>
          </w:r>
          <w:r w:rsidRPr="00240826">
            <w:rPr>
              <w:rFonts w:asciiTheme="majorHAnsi" w:eastAsia="Arial Narrow" w:hAnsiTheme="majorHAnsi" w:cs="Arial Narrow"/>
            </w:rPr>
            <w:t>Ó</w:t>
          </w:r>
          <w:r w:rsidRPr="00240826">
            <w:rPr>
              <w:rFonts w:asciiTheme="majorHAnsi" w:eastAsia="Arial Narrow" w:hAnsiTheme="majorHAnsi" w:cs="Arial Narrow"/>
              <w:color w:val="000000"/>
            </w:rPr>
            <w:t>N Y GESTI</w:t>
          </w:r>
          <w:r w:rsidRPr="00240826">
            <w:rPr>
              <w:rFonts w:asciiTheme="majorHAnsi" w:eastAsia="Arial Narrow" w:hAnsiTheme="majorHAnsi" w:cs="Arial Narrow"/>
            </w:rPr>
            <w:t>Ó</w:t>
          </w:r>
          <w:r w:rsidRPr="00240826">
            <w:rPr>
              <w:rFonts w:asciiTheme="majorHAnsi" w:eastAsia="Arial Narrow" w:hAnsiTheme="majorHAnsi" w:cs="Arial Narrow"/>
              <w:color w:val="000000"/>
            </w:rPr>
            <w:t>N</w:t>
          </w:r>
        </w:p>
      </w:tc>
      <w:tc>
        <w:tcPr>
          <w:tcW w:w="2565" w:type="dxa"/>
          <w:tcBorders>
            <w:right w:val="single" w:sz="4" w:space="0" w:color="auto"/>
          </w:tcBorders>
        </w:tcPr>
        <w:p w14:paraId="54136B61" w14:textId="194ADB28" w:rsidR="00E91ACF" w:rsidRPr="00240826" w:rsidRDefault="00E91ACF">
          <w:pPr>
            <w:rPr>
              <w:rFonts w:asciiTheme="majorHAnsi" w:eastAsia="Arial Narrow" w:hAnsiTheme="majorHAnsi" w:cs="Arial Narrow"/>
            </w:rPr>
          </w:pPr>
          <w:r w:rsidRPr="00240826">
            <w:rPr>
              <w:rFonts w:asciiTheme="majorHAnsi" w:eastAsia="Arial Narrow" w:hAnsiTheme="majorHAnsi" w:cs="Arial Narrow"/>
            </w:rPr>
            <w:t>Código: AD-FR-</w:t>
          </w:r>
          <w:r w:rsidR="00B67804">
            <w:rPr>
              <w:rFonts w:asciiTheme="majorHAnsi" w:eastAsia="Arial Narrow" w:hAnsiTheme="majorHAnsi" w:cs="Arial Narrow"/>
            </w:rPr>
            <w:t>50</w:t>
          </w:r>
        </w:p>
      </w:tc>
      <w:tc>
        <w:tcPr>
          <w:tcW w:w="1546" w:type="dxa"/>
          <w:vMerge w:val="restart"/>
          <w:tcBorders>
            <w:left w:val="single" w:sz="4" w:space="0" w:color="auto"/>
          </w:tcBorders>
        </w:tcPr>
        <w:p w14:paraId="5A55125C" w14:textId="32BE5923" w:rsidR="00E91ACF" w:rsidRPr="00240826" w:rsidRDefault="00E91ACF" w:rsidP="00E91ACF">
          <w:pPr>
            <w:jc w:val="center"/>
            <w:rPr>
              <w:rFonts w:asciiTheme="majorHAnsi" w:eastAsia="Arial Narrow" w:hAnsiTheme="majorHAnsi" w:cs="Arial Narrow"/>
            </w:rPr>
          </w:pPr>
          <w:r w:rsidRPr="00240826">
            <w:rPr>
              <w:rFonts w:asciiTheme="majorHAnsi" w:hAnsiTheme="majorHAnsi"/>
              <w:noProof/>
            </w:rPr>
            <w:drawing>
              <wp:inline distT="0" distB="0" distL="0" distR="0" wp14:anchorId="4B6E708D" wp14:editId="7CEFC2B0">
                <wp:extent cx="714375" cy="657225"/>
                <wp:effectExtent l="0" t="0" r="9525" b="9525"/>
                <wp:docPr id="57791999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7005" cy="668845"/>
                        </a:xfrm>
                        <a:prstGeom prst="rect">
                          <a:avLst/>
                        </a:prstGeom>
                        <a:noFill/>
                        <a:ln>
                          <a:noFill/>
                        </a:ln>
                      </pic:spPr>
                    </pic:pic>
                  </a:graphicData>
                </a:graphic>
              </wp:inline>
            </w:drawing>
          </w:r>
        </w:p>
      </w:tc>
    </w:tr>
    <w:tr w:rsidR="00E91ACF" w:rsidRPr="00240826" w14:paraId="3D657569" w14:textId="4AAAD25B" w:rsidTr="00E91ACF">
      <w:trPr>
        <w:trHeight w:val="273"/>
      </w:trPr>
      <w:tc>
        <w:tcPr>
          <w:tcW w:w="1701" w:type="dxa"/>
          <w:vMerge/>
          <w:vAlign w:val="center"/>
        </w:tcPr>
        <w:p w14:paraId="323AD337" w14:textId="77777777" w:rsidR="00E91ACF" w:rsidRPr="00240826" w:rsidRDefault="00E91ACF">
          <w:pPr>
            <w:widowControl w:val="0"/>
            <w:pBdr>
              <w:top w:val="nil"/>
              <w:left w:val="nil"/>
              <w:bottom w:val="nil"/>
              <w:right w:val="nil"/>
              <w:between w:val="nil"/>
            </w:pBdr>
            <w:spacing w:line="276" w:lineRule="auto"/>
            <w:rPr>
              <w:rFonts w:asciiTheme="majorHAnsi" w:eastAsia="Arial Narrow" w:hAnsiTheme="majorHAnsi" w:cs="Arial Narrow"/>
            </w:rPr>
          </w:pPr>
        </w:p>
      </w:tc>
      <w:tc>
        <w:tcPr>
          <w:tcW w:w="3969" w:type="dxa"/>
          <w:vMerge/>
          <w:vAlign w:val="center"/>
        </w:tcPr>
        <w:p w14:paraId="15C5B994" w14:textId="77777777" w:rsidR="00E91ACF" w:rsidRPr="00240826" w:rsidRDefault="00E91ACF">
          <w:pPr>
            <w:widowControl w:val="0"/>
            <w:pBdr>
              <w:top w:val="nil"/>
              <w:left w:val="nil"/>
              <w:bottom w:val="nil"/>
              <w:right w:val="nil"/>
              <w:between w:val="nil"/>
            </w:pBdr>
            <w:spacing w:line="276" w:lineRule="auto"/>
            <w:rPr>
              <w:rFonts w:asciiTheme="majorHAnsi" w:eastAsia="Arial Narrow" w:hAnsiTheme="majorHAnsi" w:cs="Arial Narrow"/>
            </w:rPr>
          </w:pPr>
        </w:p>
      </w:tc>
      <w:tc>
        <w:tcPr>
          <w:tcW w:w="2565" w:type="dxa"/>
          <w:tcBorders>
            <w:right w:val="single" w:sz="4" w:space="0" w:color="auto"/>
          </w:tcBorders>
        </w:tcPr>
        <w:p w14:paraId="5D6D1903" w14:textId="3AD94501" w:rsidR="00E91ACF" w:rsidRPr="00240826" w:rsidRDefault="00E91ACF">
          <w:pPr>
            <w:rPr>
              <w:rFonts w:asciiTheme="majorHAnsi" w:eastAsia="Arial Narrow" w:hAnsiTheme="majorHAnsi" w:cs="Arial Narrow"/>
            </w:rPr>
          </w:pPr>
          <w:r w:rsidRPr="00240826">
            <w:rPr>
              <w:rFonts w:asciiTheme="majorHAnsi" w:eastAsia="Arial Narrow" w:hAnsiTheme="majorHAnsi" w:cs="Arial Narrow"/>
            </w:rPr>
            <w:t xml:space="preserve">Elaboración: </w:t>
          </w:r>
          <w:r w:rsidR="00B67804">
            <w:rPr>
              <w:rFonts w:asciiTheme="majorHAnsi" w:eastAsia="Arial Narrow" w:hAnsiTheme="majorHAnsi" w:cs="Arial Narrow"/>
            </w:rPr>
            <w:t>28</w:t>
          </w:r>
          <w:r w:rsidRPr="00240826">
            <w:rPr>
              <w:rFonts w:asciiTheme="majorHAnsi" w:eastAsia="Arial Narrow" w:hAnsiTheme="majorHAnsi" w:cs="Arial Narrow"/>
            </w:rPr>
            <w:t>/</w:t>
          </w:r>
          <w:r w:rsidR="00B67804">
            <w:rPr>
              <w:rFonts w:asciiTheme="majorHAnsi" w:eastAsia="Arial Narrow" w:hAnsiTheme="majorHAnsi" w:cs="Arial Narrow"/>
            </w:rPr>
            <w:t>11</w:t>
          </w:r>
          <w:r w:rsidRPr="00240826">
            <w:rPr>
              <w:rFonts w:asciiTheme="majorHAnsi" w:eastAsia="Arial Narrow" w:hAnsiTheme="majorHAnsi" w:cs="Arial Narrow"/>
            </w:rPr>
            <w:t>/202</w:t>
          </w:r>
          <w:r w:rsidR="00B67804">
            <w:rPr>
              <w:rFonts w:asciiTheme="majorHAnsi" w:eastAsia="Arial Narrow" w:hAnsiTheme="majorHAnsi" w:cs="Arial Narrow"/>
            </w:rPr>
            <w:t>4</w:t>
          </w:r>
        </w:p>
      </w:tc>
      <w:tc>
        <w:tcPr>
          <w:tcW w:w="1546" w:type="dxa"/>
          <w:vMerge/>
          <w:tcBorders>
            <w:left w:val="single" w:sz="4" w:space="0" w:color="auto"/>
          </w:tcBorders>
        </w:tcPr>
        <w:p w14:paraId="1654C5ED" w14:textId="77777777" w:rsidR="00E91ACF" w:rsidRPr="00240826" w:rsidRDefault="00E91ACF" w:rsidP="00E91ACF">
          <w:pPr>
            <w:rPr>
              <w:rFonts w:asciiTheme="majorHAnsi" w:eastAsia="Arial Narrow" w:hAnsiTheme="majorHAnsi" w:cs="Arial Narrow"/>
            </w:rPr>
          </w:pPr>
        </w:p>
      </w:tc>
    </w:tr>
    <w:tr w:rsidR="00E91ACF" w:rsidRPr="00240826" w14:paraId="1C08C3E9" w14:textId="192592B4" w:rsidTr="00E91ACF">
      <w:trPr>
        <w:trHeight w:val="265"/>
      </w:trPr>
      <w:tc>
        <w:tcPr>
          <w:tcW w:w="1701" w:type="dxa"/>
          <w:vMerge/>
          <w:vAlign w:val="center"/>
        </w:tcPr>
        <w:p w14:paraId="78561781" w14:textId="77777777" w:rsidR="00E91ACF" w:rsidRPr="00240826" w:rsidRDefault="00E91ACF">
          <w:pPr>
            <w:widowControl w:val="0"/>
            <w:pBdr>
              <w:top w:val="nil"/>
              <w:left w:val="nil"/>
              <w:bottom w:val="nil"/>
              <w:right w:val="nil"/>
              <w:between w:val="nil"/>
            </w:pBdr>
            <w:spacing w:line="276" w:lineRule="auto"/>
            <w:rPr>
              <w:rFonts w:asciiTheme="majorHAnsi" w:eastAsia="Arial Narrow" w:hAnsiTheme="majorHAnsi" w:cs="Arial Narrow"/>
            </w:rPr>
          </w:pPr>
        </w:p>
      </w:tc>
      <w:tc>
        <w:tcPr>
          <w:tcW w:w="3969" w:type="dxa"/>
          <w:vMerge w:val="restart"/>
        </w:tcPr>
        <w:p w14:paraId="19D0B251" w14:textId="77777777" w:rsidR="00E91ACF" w:rsidRPr="00240826" w:rsidRDefault="00E91ACF">
          <w:pPr>
            <w:pBdr>
              <w:top w:val="nil"/>
              <w:left w:val="nil"/>
              <w:bottom w:val="nil"/>
              <w:right w:val="nil"/>
              <w:between w:val="nil"/>
            </w:pBdr>
            <w:tabs>
              <w:tab w:val="center" w:pos="4419"/>
              <w:tab w:val="right" w:pos="8838"/>
            </w:tabs>
            <w:jc w:val="center"/>
            <w:rPr>
              <w:rFonts w:asciiTheme="majorHAnsi" w:eastAsia="Arial Narrow" w:hAnsiTheme="majorHAnsi" w:cs="Arial Narrow"/>
              <w:color w:val="000000"/>
            </w:rPr>
          </w:pPr>
        </w:p>
        <w:p w14:paraId="76558A0A" w14:textId="4382ACA4" w:rsidR="00E91ACF" w:rsidRPr="00240826" w:rsidRDefault="00B67804">
          <w:pPr>
            <w:pBdr>
              <w:top w:val="nil"/>
              <w:left w:val="nil"/>
              <w:bottom w:val="nil"/>
              <w:right w:val="nil"/>
              <w:between w:val="nil"/>
            </w:pBdr>
            <w:tabs>
              <w:tab w:val="center" w:pos="4419"/>
              <w:tab w:val="right" w:pos="8838"/>
            </w:tabs>
            <w:jc w:val="center"/>
            <w:rPr>
              <w:rFonts w:asciiTheme="majorHAnsi" w:eastAsia="Arial Narrow" w:hAnsiTheme="majorHAnsi" w:cs="Arial Narrow"/>
              <w:color w:val="000000"/>
            </w:rPr>
          </w:pPr>
          <w:r>
            <w:rPr>
              <w:rFonts w:asciiTheme="majorHAnsi" w:eastAsia="Arial Narrow" w:hAnsiTheme="majorHAnsi" w:cs="Arial Narrow"/>
              <w:color w:val="000000"/>
            </w:rPr>
            <w:t>FICHA TECNICA</w:t>
          </w:r>
        </w:p>
      </w:tc>
      <w:tc>
        <w:tcPr>
          <w:tcW w:w="2565" w:type="dxa"/>
          <w:tcBorders>
            <w:right w:val="single" w:sz="4" w:space="0" w:color="auto"/>
          </w:tcBorders>
        </w:tcPr>
        <w:p w14:paraId="4A9D9FD0" w14:textId="69C2CB45" w:rsidR="00E91ACF" w:rsidRPr="00240826" w:rsidRDefault="00E91ACF">
          <w:pPr>
            <w:rPr>
              <w:rFonts w:asciiTheme="majorHAnsi" w:eastAsia="Arial Narrow" w:hAnsiTheme="majorHAnsi" w:cs="Arial Narrow"/>
            </w:rPr>
          </w:pPr>
          <w:r w:rsidRPr="00240826">
            <w:rPr>
              <w:rFonts w:asciiTheme="majorHAnsi" w:eastAsia="Arial Narrow" w:hAnsiTheme="majorHAnsi" w:cs="Arial Narrow"/>
            </w:rPr>
            <w:t xml:space="preserve">Actualización: </w:t>
          </w:r>
          <w:r w:rsidR="00B67804">
            <w:rPr>
              <w:rFonts w:asciiTheme="majorHAnsi" w:eastAsia="Arial Narrow" w:hAnsiTheme="majorHAnsi" w:cs="Arial Narrow"/>
            </w:rPr>
            <w:t>28</w:t>
          </w:r>
          <w:r w:rsidRPr="00240826">
            <w:rPr>
              <w:rFonts w:asciiTheme="majorHAnsi" w:eastAsia="Arial Narrow" w:hAnsiTheme="majorHAnsi" w:cs="Arial Narrow"/>
            </w:rPr>
            <w:t>/</w:t>
          </w:r>
          <w:r w:rsidR="00B67804">
            <w:rPr>
              <w:rFonts w:asciiTheme="majorHAnsi" w:eastAsia="Arial Narrow" w:hAnsiTheme="majorHAnsi" w:cs="Arial Narrow"/>
            </w:rPr>
            <w:t>11</w:t>
          </w:r>
          <w:r w:rsidRPr="00240826">
            <w:rPr>
              <w:rFonts w:asciiTheme="majorHAnsi" w:eastAsia="Arial Narrow" w:hAnsiTheme="majorHAnsi" w:cs="Arial Narrow"/>
            </w:rPr>
            <w:t>/2024</w:t>
          </w:r>
        </w:p>
      </w:tc>
      <w:tc>
        <w:tcPr>
          <w:tcW w:w="1546" w:type="dxa"/>
          <w:vMerge/>
          <w:tcBorders>
            <w:left w:val="single" w:sz="4" w:space="0" w:color="auto"/>
          </w:tcBorders>
        </w:tcPr>
        <w:p w14:paraId="5179BBC6" w14:textId="77777777" w:rsidR="00E91ACF" w:rsidRPr="00240826" w:rsidRDefault="00E91ACF" w:rsidP="00E91ACF">
          <w:pPr>
            <w:rPr>
              <w:rFonts w:asciiTheme="majorHAnsi" w:eastAsia="Arial Narrow" w:hAnsiTheme="majorHAnsi" w:cs="Arial Narrow"/>
            </w:rPr>
          </w:pPr>
        </w:p>
      </w:tc>
    </w:tr>
    <w:tr w:rsidR="00E91ACF" w:rsidRPr="00240826" w14:paraId="66CEE1A5" w14:textId="691F025B" w:rsidTr="00E91ACF">
      <w:trPr>
        <w:trHeight w:val="283"/>
      </w:trPr>
      <w:tc>
        <w:tcPr>
          <w:tcW w:w="1701" w:type="dxa"/>
          <w:vMerge/>
          <w:vAlign w:val="center"/>
        </w:tcPr>
        <w:p w14:paraId="175070DA" w14:textId="77777777" w:rsidR="00E91ACF" w:rsidRPr="00240826" w:rsidRDefault="00E91ACF">
          <w:pPr>
            <w:widowControl w:val="0"/>
            <w:pBdr>
              <w:top w:val="nil"/>
              <w:left w:val="nil"/>
              <w:bottom w:val="nil"/>
              <w:right w:val="nil"/>
              <w:between w:val="nil"/>
            </w:pBdr>
            <w:spacing w:line="276" w:lineRule="auto"/>
            <w:rPr>
              <w:rFonts w:asciiTheme="majorHAnsi" w:eastAsia="Arial Narrow" w:hAnsiTheme="majorHAnsi" w:cs="Arial Narrow"/>
            </w:rPr>
          </w:pPr>
        </w:p>
      </w:tc>
      <w:tc>
        <w:tcPr>
          <w:tcW w:w="3969" w:type="dxa"/>
          <w:vMerge/>
        </w:tcPr>
        <w:p w14:paraId="04061F4F" w14:textId="77777777" w:rsidR="00E91ACF" w:rsidRPr="00240826" w:rsidRDefault="00E91ACF">
          <w:pPr>
            <w:widowControl w:val="0"/>
            <w:pBdr>
              <w:top w:val="nil"/>
              <w:left w:val="nil"/>
              <w:bottom w:val="nil"/>
              <w:right w:val="nil"/>
              <w:between w:val="nil"/>
            </w:pBdr>
            <w:spacing w:line="276" w:lineRule="auto"/>
            <w:rPr>
              <w:rFonts w:asciiTheme="majorHAnsi" w:eastAsia="Arial Narrow" w:hAnsiTheme="majorHAnsi" w:cs="Arial Narrow"/>
            </w:rPr>
          </w:pPr>
        </w:p>
      </w:tc>
      <w:tc>
        <w:tcPr>
          <w:tcW w:w="2565" w:type="dxa"/>
          <w:tcBorders>
            <w:right w:val="single" w:sz="4" w:space="0" w:color="auto"/>
          </w:tcBorders>
        </w:tcPr>
        <w:p w14:paraId="79EBD171" w14:textId="553BF6BF" w:rsidR="00E91ACF" w:rsidRPr="00240826" w:rsidRDefault="00E91ACF">
          <w:pPr>
            <w:rPr>
              <w:rFonts w:asciiTheme="majorHAnsi" w:eastAsia="Arial Narrow" w:hAnsiTheme="majorHAnsi" w:cs="Arial Narrow"/>
            </w:rPr>
          </w:pPr>
          <w:r w:rsidRPr="00240826">
            <w:rPr>
              <w:rFonts w:asciiTheme="majorHAnsi" w:eastAsia="Arial Narrow" w:hAnsiTheme="majorHAnsi" w:cs="Arial Narrow"/>
            </w:rPr>
            <w:t>Versión: 0</w:t>
          </w:r>
          <w:r w:rsidR="00B67804">
            <w:rPr>
              <w:rFonts w:asciiTheme="majorHAnsi" w:eastAsia="Arial Narrow" w:hAnsiTheme="majorHAnsi" w:cs="Arial Narrow"/>
            </w:rPr>
            <w:t>1</w:t>
          </w:r>
        </w:p>
      </w:tc>
      <w:tc>
        <w:tcPr>
          <w:tcW w:w="1546" w:type="dxa"/>
          <w:vMerge/>
          <w:tcBorders>
            <w:left w:val="single" w:sz="4" w:space="0" w:color="auto"/>
          </w:tcBorders>
        </w:tcPr>
        <w:p w14:paraId="65AA4CA0" w14:textId="77777777" w:rsidR="00E91ACF" w:rsidRPr="00240826" w:rsidRDefault="00E91ACF" w:rsidP="00E91ACF">
          <w:pPr>
            <w:rPr>
              <w:rFonts w:asciiTheme="majorHAnsi" w:eastAsia="Arial Narrow" w:hAnsiTheme="majorHAnsi" w:cs="Arial Narrow"/>
            </w:rPr>
          </w:pPr>
        </w:p>
      </w:tc>
    </w:tr>
  </w:tbl>
  <w:p w14:paraId="29B3720D" w14:textId="77777777" w:rsidR="00075FEA" w:rsidRDefault="00075FEA" w:rsidP="00240826">
    <w:pPr>
      <w:pBdr>
        <w:top w:val="nil"/>
        <w:left w:val="nil"/>
        <w:bottom w:val="nil"/>
        <w:right w:val="nil"/>
        <w:between w:val="nil"/>
      </w:pBdr>
      <w:tabs>
        <w:tab w:val="center" w:pos="4419"/>
        <w:tab w:val="right" w:pos="8838"/>
      </w:tabs>
      <w:ind w:left="-14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9048C4"/>
    <w:multiLevelType w:val="hybridMultilevel"/>
    <w:tmpl w:val="0DD401B8"/>
    <w:lvl w:ilvl="0" w:tplc="E6B8BF94">
      <w:start w:val="1"/>
      <w:numFmt w:val="bullet"/>
      <w:lvlText w:val="-"/>
      <w:lvlJc w:val="left"/>
      <w:pPr>
        <w:ind w:left="720" w:hanging="360"/>
      </w:pPr>
      <w:rPr>
        <w:rFonts w:ascii="Times New Roman" w:eastAsia="Times New Roman" w:hAnsi="Times New Roman" w:cs="Times New Roman" w:hint="default"/>
        <w:sz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3745752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FEA"/>
    <w:rsid w:val="00075FEA"/>
    <w:rsid w:val="0020571F"/>
    <w:rsid w:val="00232E73"/>
    <w:rsid w:val="00240826"/>
    <w:rsid w:val="002B4CC0"/>
    <w:rsid w:val="004242FB"/>
    <w:rsid w:val="005B32A0"/>
    <w:rsid w:val="005E4D38"/>
    <w:rsid w:val="007261C9"/>
    <w:rsid w:val="007E0149"/>
    <w:rsid w:val="009D7926"/>
    <w:rsid w:val="00AC4FEE"/>
    <w:rsid w:val="00AF47EB"/>
    <w:rsid w:val="00B67804"/>
    <w:rsid w:val="00BB7FE2"/>
    <w:rsid w:val="00BE2964"/>
    <w:rsid w:val="00E91AC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B2E0E7"/>
  <w15:docId w15:val="{A76C94C0-AD67-42DC-9AD1-12848E4D8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paragraph" w:styleId="Encabezado">
    <w:name w:val="header"/>
    <w:basedOn w:val="Normal"/>
    <w:link w:val="EncabezadoCar"/>
    <w:uiPriority w:val="99"/>
    <w:unhideWhenUsed/>
    <w:rsid w:val="00E91ACF"/>
    <w:pPr>
      <w:tabs>
        <w:tab w:val="center" w:pos="4419"/>
        <w:tab w:val="right" w:pos="8838"/>
      </w:tabs>
    </w:pPr>
  </w:style>
  <w:style w:type="character" w:customStyle="1" w:styleId="EncabezadoCar">
    <w:name w:val="Encabezado Car"/>
    <w:basedOn w:val="Fuentedeprrafopredeter"/>
    <w:link w:val="Encabezado"/>
    <w:uiPriority w:val="99"/>
    <w:rsid w:val="00E91ACF"/>
  </w:style>
  <w:style w:type="paragraph" w:styleId="Piedepgina">
    <w:name w:val="footer"/>
    <w:basedOn w:val="Normal"/>
    <w:link w:val="PiedepginaCar"/>
    <w:uiPriority w:val="99"/>
    <w:unhideWhenUsed/>
    <w:rsid w:val="00E91ACF"/>
    <w:pPr>
      <w:tabs>
        <w:tab w:val="center" w:pos="4419"/>
        <w:tab w:val="right" w:pos="8838"/>
      </w:tabs>
    </w:pPr>
  </w:style>
  <w:style w:type="character" w:customStyle="1" w:styleId="PiedepginaCar">
    <w:name w:val="Pie de página Car"/>
    <w:basedOn w:val="Fuentedeprrafopredeter"/>
    <w:link w:val="Piedepgina"/>
    <w:uiPriority w:val="99"/>
    <w:rsid w:val="00E91ACF"/>
  </w:style>
  <w:style w:type="paragraph" w:styleId="Sinespaciado">
    <w:name w:val="No Spacing"/>
    <w:aliases w:val="Titulo 2"/>
    <w:link w:val="SinespaciadoCar"/>
    <w:uiPriority w:val="1"/>
    <w:qFormat/>
    <w:rsid w:val="002B4CC0"/>
    <w:rPr>
      <w:rFonts w:asciiTheme="minorHAnsi" w:eastAsiaTheme="minorHAnsi" w:hAnsiTheme="minorHAnsi" w:cstheme="minorBidi"/>
      <w:sz w:val="22"/>
      <w:szCs w:val="22"/>
      <w:lang w:eastAsia="en-US"/>
    </w:rPr>
  </w:style>
  <w:style w:type="character" w:customStyle="1" w:styleId="SinespaciadoCar">
    <w:name w:val="Sin espaciado Car"/>
    <w:aliases w:val="Titulo 2 Car"/>
    <w:link w:val="Sinespaciado"/>
    <w:uiPriority w:val="1"/>
    <w:locked/>
    <w:rsid w:val="002B4CC0"/>
    <w:rPr>
      <w:rFonts w:asciiTheme="minorHAnsi" w:eastAsiaTheme="minorHAnsi" w:hAnsiTheme="minorHAnsi" w:cstheme="minorBidi"/>
      <w:sz w:val="22"/>
      <w:szCs w:val="22"/>
      <w:lang w:eastAsia="en-US"/>
    </w:rPr>
  </w:style>
  <w:style w:type="table" w:styleId="Tablaconcuadrcula">
    <w:name w:val="Table Grid"/>
    <w:basedOn w:val="Tablanormal"/>
    <w:uiPriority w:val="39"/>
    <w:rsid w:val="00B67804"/>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eterminado">
    <w:name w:val="Predeterminado"/>
    <w:rsid w:val="00B67804"/>
    <w:pPr>
      <w:widowControl w:val="0"/>
      <w:autoSpaceDE w:val="0"/>
      <w:autoSpaceDN w:val="0"/>
      <w:adjustRightInd w:val="0"/>
    </w:pPr>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sctHYavklh0Qy2yvHhOsMzGijw==">CgMxLjA4AHIhMXg0RjUwMHZRQ2dlUXdxaEFCSkJfVXZCX19jc3BaN1cw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2158</Words>
  <Characters>11872</Characters>
  <Application>Microsoft Office Word</Application>
  <DocSecurity>0</DocSecurity>
  <Lines>98</Lines>
  <Paragraphs>28</Paragraphs>
  <ScaleCrop>false</ScaleCrop>
  <Company/>
  <LinksUpToDate>false</LinksUpToDate>
  <CharactersWithSpaces>14002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2024-11-28T16:15:00Z</dcterms:created>
  <dcterms:modified xsi:type="dcterms:W3CDTF">2024-11-28T16:15:00Z</dcterms:modified>
</cp:coreProperties>
</file>